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5829/TCT-CS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5829/TCT-CS</w:t>
      </w:r>
    </w:p>
    <w:p>
      <w:r>
        <w:t>V/v chính sách thuế</w:t>
      </w:r>
    </w:p>
    <w:p>
      <w:r>
        <w:t>Hà Nội, ngày 20 tháng 12 năm 2023</w:t>
      </w:r>
    </w:p>
    <w:p>
      <w:r>
        <w:t>Kính gửi:  Cục Thuế tỉnh Nghệ An.</w:t>
      </w:r>
    </w:p>
    <w:p>
      <w:r>
        <w:t>Tổng cục Thuế nhận được công văn số 5466/CT-TTKT3 ngày 13/9/2023 của Cục Thuế tỉnh Nghệ An về chính sách thuế. Về vấn đề này, Tổng cục Thuế có ý kiến như sau:</w:t>
      </w:r>
    </w:p>
    <w:p>
      <w:r>
        <w:t>- Tại điểm đ khoản 1 Điều 116 Luật Quản lý thuế số 38/2019/QH14 ngày 13/6/2019 quy định:</w:t>
      </w:r>
    </w:p>
    <w:p>
      <w:r>
        <w:t>“Điều 116. Nhiệm vụ, quyền hạn của người ra quyết định thanh tra thuế</w:t>
      </w:r>
    </w:p>
    <w:p>
      <w:r>
        <w:t>1. Người ra quyết định thanh tra thuế có các nhiệm vụ, quyền hạn sau đây:...</w:t>
      </w:r>
    </w:p>
    <w:p>
      <w:r>
        <w:t>đ) Quyết định xử lý theo thẩm quyền hoặc kiến nghị người có thẩm quyền xử lý kết quả thanh tra, đôn đốc việc thực hiện quyết định xử lý về thanh tra thuế;...</w:t>
      </w:r>
    </w:p>
    <w:p>
      <w:r>
        <w:t>- Tại Điều 2, khoản 1 Điều 14, Điều 15 Thông tư số 219/2013/TT-BTC ngày 31/12/2013 của Bộ Tài chính hướng dẫn thi hành Luật Thuế Giá trị gia tăng (GTGT) và Nghị định số 209/2013/NĐ-CP ngày 18/12/2013 của Chính phủ quy định chi tiết và hướng dẫn thi hành một số điều Luật Thuế Giá trị gia tăng;</w:t>
      </w:r>
    </w:p>
    <w:p>
      <w:r>
        <w:t>- Tại Khoản 1, Điểm 2.1 Khoản 2 Điều 6 Thông tư số 78/2014/TT-BTC (đã được sửa đổi, bổ sung tại Điều 4 Thông tư số 96/2015/TT-BTC ngày 22/06/2015 của Bộ Tài chính) về thuế thu nhập doanh nghiệp (TNDN) hướng dẫn về khoản chi được trừ và không được trừ khi tính thuế thu nhập doanh nghiệp.</w:t>
      </w:r>
    </w:p>
    <w:p>
      <w:r>
        <w:t>Căn cứ các quy định nêu trên, về nguyên tắc, doanh nghiệp được khấu trừ thuế GTGT đầu vào đối với hàng hóa tổn thất không được bảo hiểm bồi thường, hàng hóa mất phẩm chất, quá hạn sử dụng phải tiêu hủy; được tính vào chi phí được trừ khi tính thuế TNDN đối với hàng hóa bị hư hỏng do thay đổi quá trình sinh hóa tự nhiên, hàng hóa hết hạn sử dụng, không được bồi thường. Doanh nghiệp phải có đầy đủ hồ sơ, hóa đơn, chứng từ khi khấu trừ thuế GTGT và tính vào chi phí được trừ khi xác định thu nhập chịu thuế TNDN.</w:t>
      </w:r>
    </w:p>
    <w:p>
      <w:r>
        <w:t>Theo nội dung nêu tại công văn số 5466/CT-TTKT3 nêu trên của Cục Thuế tỉnh Nghệ An thì Công ty TNHH Điện tử BSE Việt Nam thanh lý nguyên liệu nhập khẩu do không sử dụng và Cục Thuế tỉnh Nghệ An đang trong quá trình thanh tra thuế tại Công ty TNHH Điện tử BSE Việt Nam. Do đó, đề nghị Cục Thuế tỉnh Nghệ An căn cứ quy định tại Luật Quản lý thuế, pháp luật về thuế giá trị gia tăng, thuế thu nhập doanh nghiệp và tình hình thực tế của doanh nghiệp để xử lý theo thẩm quyền.</w:t>
      </w:r>
    </w:p>
    <w:p>
      <w:r>
        <w:t>Tổng cục Thuế trả lời để Cục Thuế tỉnh Nghệ An được biết./.</w:t>
      </w:r>
    </w:p>
    <w:p>
      <w:r>
        <w:t>Nơi nhận:</w:t>
      </w:r>
    </w:p>
    <w:p>
      <w:r>
        <w:t>- Như trên;</w:t>
      </w:r>
    </w:p>
    <w:p>
      <w:r>
        <w:t>- Phó TCTr Đặng Ngọc Minh (để báo cáo);</w:t>
      </w:r>
    </w:p>
    <w:p>
      <w:r>
        <w:t>- Vụ PC-TCT;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