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5779/TCT-CS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5779/TCT-CS</w:t>
      </w:r>
    </w:p>
    <w:p>
      <w:r>
        <w:t>V/v chính sách thuế</w:t>
      </w:r>
    </w:p>
    <w:p>
      <w:r>
        <w:t>Hà Nội, ngày 10 tháng 12 năm 2024</w:t>
      </w:r>
    </w:p>
    <w:p>
      <w:r>
        <w:t>Kính gửi:  Cục Thuế tỉnh Bình Thuận</w:t>
      </w:r>
    </w:p>
    <w:p>
      <w:r>
        <w:t>Tổng cục Thuế nhận được công văn số 5708/CTBTH-TTKT1 ngày 13/9/2024 của Cục Thuế tỉnh Bình Thuận về trích khấu hao và phân bổ tài sản, công cụ và dụng cụ khi góp vốn vào chi phí được trừ đối với Công ty TNHH Làng Việt Nam (sau đây gọi tắt là Công ty Làng Việt Nam). Về vấn đề này, Tổng cục Thuế có ý kiến như sau:</w:t>
      </w:r>
    </w:p>
    <w:p>
      <w:r>
        <w:t>- Căn cứ quy định tại Điều 36 và Điều 37 Luật Doanh nghiệp số 68/2014/QH13 ngày 26/11/2014 và Luật Doanh nghiệp số 59/2020/QH14 ngày 17/6/2020;</w:t>
      </w:r>
    </w:p>
    <w:p>
      <w:r>
        <w:t>- Căn cứ tại tiết g khoản 1 Điều 4 và Điều 9 Thông tư số 45/2013/TT-BTC ngày 25/4/2013 của Bộ Tài chính hướng dẫn về chế độ quản lý, sử dụng và trích khấu hao TSCĐ;</w:t>
      </w:r>
    </w:p>
    <w:p>
      <w:r>
        <w:t>- Căn cứ điểm b khoản 2.15 Phụ lục 4 Thông tư số 39/2014/TT-BTC ngày 31/3/2014 của Bộ Tài chính quy định về hóa đơn, chứng từ đối với tài sản góp vốn, tài sản điều chuyển;</w:t>
      </w:r>
    </w:p>
    <w:p>
      <w:r>
        <w:t>- Căn cứ Điều 4 Thông tư số 96/2015/TT-BTC ngày 22/06/2015 của Bộ Tài chính hướng dẫn thi hành Luật thuế TNDN sửa đổi, bổ sung Điều 6 Thông tư số 78/2014/TT-BTC quy định các khoản chi được trừ và không được trừ khi xác định thu nhập chịu thuế.</w:t>
      </w:r>
    </w:p>
    <w:p>
      <w:r>
        <w:t>Luật thuế thu nhập doanh nghiệp và các văn bản hướng dẫn thi hành quy định tài sản cố định được trích khấu hao tính vào chi phí tính thuế thu nhập doanh nghiệp cần đảm bảo các quy định sau: tài sản cố định phải sử dụng cho hoạt động sản xuất, kinh doanh của doanh nghiệp, tài sản cố định phải có giấy tờ chứng minh được thuộc quyền sở hữu của doanh nghiệp và tài sản cố định phải được quản lý, theo dõi, hạch toán kế toán hiện hành.</w:t>
      </w:r>
    </w:p>
    <w:p>
      <w:r>
        <w:t>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tổ chức có chức năng định giá theo quy định của pháp luật), kèm theo bộ hồ sơ về nguồn gốc tài sản.</w:t>
      </w:r>
    </w:p>
    <w:p>
      <w:r>
        <w:t>Đối với tài sản là công cụ, dụng cụ không đáp ứng đủ điều xác định là tài sản cố định theo quy định thì chi phí mua tài sản được phân bổ dần vào chi phí hoạt động sản xuất kinh doanh trong kỳ nhưng tối đa không quá 3 năm theo quy định tại khoản 2 Điều 4 Thông tư số 96/2015/TT-BTC của Bộ Tài chính hướng dẫn về Luật thuế thu nhập doanh nghiệp.</w:t>
      </w:r>
    </w:p>
    <w:p>
      <w:r>
        <w:t>Đề nghị Cục Thuế tỉnh Bình Thuận căn cứ tình hình thực tế tại doanh nghiệp để hướng dẫn Công ty Làng Việt Nam thực hiện phân bổ vào chi phí tính thuế TNDN theo đúng quy định pháp luật./.</w:t>
      </w:r>
    </w:p>
    <w:p>
      <w:r>
        <w:t>Nơi nhận:</w:t>
      </w:r>
    </w:p>
    <w:p>
      <w:r>
        <w:t>- Như trên;</w:t>
      </w:r>
    </w:p>
    <w:p>
      <w:r>
        <w:t>- PTCTr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