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5440/TCT-CS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5440 / TCT-CS</w:t>
      </w:r>
    </w:p>
    <w:p>
      <w:r>
        <w:t>V/v chính sách thuế</w:t>
      </w:r>
    </w:p>
    <w:p>
      <w:r>
        <w:t>Hà Nội, ngày  25  tháng  11  năm 20 24</w:t>
      </w:r>
    </w:p>
    <w:p>
      <w:r>
        <w:t>Kính gửi:  Công ty TNHH Mau Son.</w:t>
      </w:r>
    </w:p>
    <w:p>
      <w:r>
        <w:t>(Đ/c: Khu phố Bình Khánh, phường Khánh Bình, Tp. Tân Uyên, tỉnh Bình Dương)</w:t>
      </w:r>
    </w:p>
    <w:p>
      <w:r>
        <w:t>Tổng cục Thuế nhận được công văn số 06/2024/VB-MS ngày 02/10/2024 của Công ty TNHH Mau Son về xử lý lỗ chênh lệch tỷ giá do đánh giá lại khoản nợ phải trả cuối năm. Về vấn đề này, Tổng cục Thuế có ý kiến như sau:</w:t>
      </w:r>
    </w:p>
    <w:p>
      <w:r>
        <w:t>Thông tư số 18/2011/TT-BTC ngày 10/2/2011 đã bị thay thế bởi Thông tư số 123/2012/TT-BTC ngày 27/7/2012, Thông tư số 123/2012/TT-BTC bị thay thế bởi Thông tư số 78/2014/TT-BTC ngày 18/6/2014. Thông tư số 78/2014/TT-BTC ngày 18/6/2014 được sửa đổi, bổ sung một số điều bởi Thông tư số 96/2015/TT- BTC ngày 22/6/2015 của Bộ Tài chính. Do đó, kiến nghị của Công ty TNHH Mau Son tại văn bản số 06/2024/VB-MS về việc phân bổ lỗ chênh lệch tỷ giá hối đoái do đánh giá lại các khoản nợ phải trả có gốc ngoại tệ cuối kỳ tính thuế năm 2022, 2023 vào các năm sau là không có cơ sở pháp lý để thực hiện.</w:t>
      </w:r>
    </w:p>
    <w:p>
      <w:r>
        <w:t>Trường hợp Công ty TNHH Mau Son phát sinh lỗ chênh lệch tỷ giá hối đoái do đánh giá lại các khoản nợ phải trả có gốc ngoại tệ cuối kỳ tính thuế năm 2022, 2023 thì thực hiện theo quy định tại Thông tư số 78/2014/TT-BTC và Thông tư số 96/2015/TT-BTC. Vấn đề này đã được Cục Thuế tỉnh Bình Dương trả lời Công ty tại công văn số 23807/CTBDU-TTHT ngày 21/8/2024.</w:t>
      </w:r>
    </w:p>
    <w:p>
      <w:r>
        <w:t>Căn cứ khoản 2 Điều 9 Thông tư số 78/2014/TT-BTC, trường hợp Công ty phát sinh lỗ (bao gồm lỗ từ hoạt động sản xuất kinh doanh và lỗ chênh lệch tỷ giá hối đoái do đánh giá lại các khoản nợ phải trả có gốc ngoại tệ cuối kỳ tính thuế) thì chuyển toàn bộ và liên tục số lỗ vào thu nhập của những năm tiếp theo. Thời gian chuyển lỗ liên tục không quá 05 năm, kể từ năm tiếp sau năm phát sinh lỗ.</w:t>
      </w:r>
    </w:p>
    <w:p>
      <w:r>
        <w:t>Tổng cục Thuế trả lời để Công ty TNHH Mau Son được biết và căn cứ tình hình thực tế tại đơn vị để thực hiện theo đúng quy định của pháp luật./.</w:t>
      </w:r>
    </w:p>
    <w:p>
      <w:r>
        <w:t>Nơi nhận:</w:t>
      </w:r>
    </w:p>
    <w:p>
      <w:r>
        <w:t>- Như tr ê n;</w:t>
      </w:r>
    </w:p>
    <w:p>
      <w:r>
        <w:t>- PTCTr Đặng Ngọc Minh (để b/c);</w:t>
      </w:r>
    </w:p>
    <w:p>
      <w:r>
        <w:t>- Cục Thuế tỉnh Bình Dương;</w:t>
      </w:r>
    </w:p>
    <w:p>
      <w:r>
        <w:t>- Vụ PC (TCT);</w:t>
      </w:r>
    </w:p>
    <w:p>
      <w:r>
        <w:t>- Webs i 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