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542/CCTKV.XVI-QLDN4-TNI năm 2025 về kê khai và nộp thuế nhà thầu nước ngoài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542/CCTKV.XVI-QLDN4-TNI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542/CCTKV.XVI-QLDN4-TNI</w:t>
      </w:r>
    </w:p>
    <w:p>
      <w:r>
        <w:t>V/v chính sách thuế nhà thầu</w:t>
      </w:r>
    </w:p>
    <w:p>
      <w:r>
        <w:t>Tây Ninh, ngày 12 tháng 5 năm 2025</w:t>
      </w:r>
    </w:p>
    <w:p>
      <w:r>
        <w:t>Kính gửi:  Công ty TNHH Billion Industrial Việt Nam</w:t>
      </w:r>
    </w:p>
    <w:p>
      <w:r>
        <w:t>Mã số thuế: 3901239938; Địa chỉ: Lô 43-16 đường N14, KCN Phước Đông, xã Phước Đông, huyện Gò Dầu, tỉnh Tây Ninh.</w:t>
      </w:r>
    </w:p>
    <w:p>
      <w:r>
        <w:t>Chi cục Thuế khu vực XVI - Bộ phận một cửa tại Tây Ninh nhận được Công văn số CV2025/04-02 của Công ty TNHH Billion Industrial Việt Nam về việc kê khai và nộp thuế nhà thầu nước ngoài. Vấn đề này Chi cục Thuế khu vực XVI có ý kiến như sau:</w:t>
      </w:r>
    </w:p>
    <w:p>
      <w:r>
        <w:t>- Căn cứ Thông tư 103/2014/TT-BTC ngày 6/8/2014 của Bộ Tài chính, hướng dẫn thực hiện nghĩa vụ thuế áp dụng đối với tổ chức, cá nhân nước ngoài kinh doanh tại Việt Nam hoặc có thu nhập tại Việt Nam:</w:t>
      </w:r>
    </w:p>
    <w:p>
      <w:r>
        <w:t>+ Tại Khoản 1, Điều 1: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khoản 3, khoản 4, Điều 2: Đối tượng không áp dụng:</w:t>
      </w:r>
    </w:p>
    <w:p>
      <w:r>
        <w:t>“…</w:t>
      </w:r>
    </w:p>
    <w:p>
      <w:r>
        <w:t>3. Tổ chức, cá nhân nước ngoài có thu nhập từ dịch vụ được cung cấp và tiêu dùng ngoài Việt Nam.</w:t>
      </w:r>
    </w:p>
    <w:p>
      <w:r>
        <w:t>…</w:t>
      </w:r>
    </w:p>
    <w:p>
      <w:r>
        <w:t>4. Tổ chức, cá nhân nước ngoài thực hiện cung cấp dịch vụ dưới đây cho tổ chức, cá nhân Việt Nam mà các dịch vụ được thực hiện ở nước ngoài:</w:t>
      </w:r>
    </w:p>
    <w:p>
      <w:r>
        <w:t>- Sửa chữa phương tiện vận tải (tàu bay, động cơ tàu bay, phụ tùng tàu bay, tàu biển), máy móc, thiết bị (kể cả đường cáp biển, thiết bị truyền dẫn), có bao gồm hoặc không bao gồm vật tư, thiết bị thay thế kèm theo;</w:t>
      </w:r>
    </w:p>
    <w:p>
      <w:r>
        <w:t>- Quảng cáo, tiếp thị (trừ quảng cáo, tiếp thị trên internet);</w:t>
      </w:r>
    </w:p>
    <w:p>
      <w:r>
        <w:t>Ví dụ 6:</w:t>
      </w:r>
    </w:p>
    <w:p>
      <w:r>
        <w:t>Doanh nghiệp Việt Nam ký hợp đồng với tổ chức ở Singapore để thực hiện dịch vụ quảng cáo sản phẩm tại thị trường Singapore thì dịch vụ quảng cáo này của tổ chức Singapore không thuộc đối tượng áp dụng của Thông tư. Trường hợp tổ chức ở Singapore thực hiện quảng cáo sản phẩm để tiêu thụ tại thị trường Việt Nam trên internet thì thu nhập từ dịch vụ quảng cáo này thuộc đối tượng áp dụng của Thông tư.</w:t>
      </w:r>
    </w:p>
    <w:p>
      <w:r>
        <w:t>- Xúc tiến đầu tư và thương mại;</w:t>
      </w:r>
    </w:p>
    <w:p>
      <w:r>
        <w:t>- Môi giới: bán hàng hóa, cung cấp dịch vụ ra nước ngoài;</w:t>
      </w:r>
    </w:p>
    <w:p>
      <w:r>
        <w:t>…”</w:t>
      </w:r>
    </w:p>
    <w:p>
      <w:r>
        <w:t>+ Tại Khoản 2, Điều 13: Thuế thu nhập doanh nghiệp:</w:t>
      </w:r>
    </w:p>
    <w:p>
      <w:r>
        <w:t>“…</w:t>
      </w:r>
    </w:p>
    <w:p>
      <w:r>
        <w:t>2.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1</w:t>
      </w:r>
    </w:p>
    <w:p>
      <w:r>
        <w:t>...</w:t>
      </w:r>
    </w:p>
    <w:p>
      <w:r>
        <w:t>...</w:t>
      </w:r>
    </w:p>
    <w:p>
      <w:r>
        <w:t>2</w:t>
      </w:r>
    </w:p>
    <w:p>
      <w:r>
        <w:t>Dịch vụ, cho thuê máy móc thiết bị, bảo hiểm, thuê giàn khoan</w:t>
      </w:r>
    </w:p>
    <w:p>
      <w:r>
        <w:t>5</w:t>
      </w:r>
    </w:p>
    <w:p>
      <w:r>
        <w:t>Riêng:</w:t>
      </w:r>
    </w:p>
    <w:p>
      <w:r>
        <w:t>- Dịch vụ quản lý nhà hàng, khách sạn, casino;</w:t>
      </w:r>
    </w:p>
    <w:p>
      <w:r>
        <w:t>10</w:t>
      </w:r>
    </w:p>
    <w:p>
      <w:r>
        <w:t>- Dịch vụ tài chính phái sinh</w:t>
      </w:r>
    </w:p>
    <w:p>
      <w:r>
        <w:t>2</w:t>
      </w:r>
    </w:p>
    <w:p>
      <w:r>
        <w:t>3</w:t>
      </w:r>
    </w:p>
    <w:p>
      <w:r>
        <w:t>Cho thuê tàu bay, động cơ tàu bay, phụ tùng tàu bay, tàu biển</w:t>
      </w:r>
    </w:p>
    <w:p>
      <w:r>
        <w:t>2</w:t>
      </w:r>
    </w:p>
    <w:p>
      <w:r>
        <w:t>4</w:t>
      </w:r>
    </w:p>
    <w:p>
      <w:r>
        <w:t>Xây dựng, lắp đặt có bao thầu hoặc không bao thầu   nguyên vật liệu, máy móc, thiết bị</w:t>
      </w:r>
    </w:p>
    <w:p>
      <w:r>
        <w:t>2</w:t>
      </w:r>
    </w:p>
    <w:p>
      <w:r>
        <w:t>...</w:t>
      </w:r>
    </w:p>
    <w:p>
      <w:r>
        <w:t>...</w:t>
      </w:r>
    </w:p>
    <w:p>
      <w:r>
        <w:t>...</w:t>
      </w:r>
    </w:p>
    <w:p>
      <w:r>
        <w:t>…”</w:t>
      </w:r>
    </w:p>
    <w:p>
      <w:r>
        <w:t>- Căn cứ Thông tư 219/2013/TT-BT ngày 31/12/2013 của Bộ Tài chính hướng dẫn về thuế giá trị gia tăng.</w:t>
      </w:r>
    </w:p>
    <w:p>
      <w:r>
        <w:t>Tại Khoản 20, Điều 4: Đối tượng không chịu thuế:</w:t>
      </w:r>
    </w:p>
    <w:p>
      <w:r>
        <w:t>“…</w:t>
      </w:r>
    </w:p>
    <w:p>
      <w:r>
        <w:t>20. Hàng hóa chuyển khẩu, quá cảnh qua lãnh thổ Việt Nam; hàng tạm nhập khẩu, tái xuất khẩu; hàng tạm xuất khẩu, tái nhập khẩu; nguyên liệu, vật tư nhập khẩu để sản xuất, gia công hàng hóa xuất khẩu theo hợp đồng sản xuất, gia công xuất khẩu ký kết với bên nước ngoài.</w:t>
      </w:r>
    </w:p>
    <w:p>
      <w:r>
        <w:t>Hàng hóa, dịch vụ được mua bán giữa nước ngoài với các khu phi thuế quan và giữa các khu phi thuế quan với nhau.</w:t>
      </w:r>
    </w:p>
    <w:p>
      <w: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khẩu, nhập khẩu.</w:t>
      </w:r>
    </w:p>
    <w:p>
      <w:r>
        <w:t>Hồ sơ, thủ tục để xác định và xử lý không thu thuế GTGT trong các trường hợp này thực hiện theo hướng dẫn của Bộ Tài chính về thủ tục hải quan; kiểm tra, giám sát hải quan; thuế xuất khẩu, thuế nhập khẩu và quản lý thuế đối với hàng hóa xuất khẩu, nhập khẩu.</w:t>
      </w:r>
    </w:p>
    <w:p>
      <w:r>
        <w:t>…”</w:t>
      </w:r>
    </w:p>
    <w:p>
      <w:r>
        <w:t>+ Tại Khoản 1, 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 Căn cứ Thông tư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w:t>
      </w:r>
    </w:p>
    <w:p>
      <w:r>
        <w:t>+ Tại Điều 2: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w:t>
      </w:r>
    </w:p>
    <w:p>
      <w:r>
        <w:t>Đối với cá nhân không cư trú, thu nhập chịu thuế là thu nhập phát sinh tại Việt Nam, không phân biệt nơi trả và nhận thu nhập.”</w:t>
      </w:r>
    </w:p>
    <w:p>
      <w:r>
        <w:t>Căn cứ các quy định trích dẫn nêu trên, đề nghị Công ty TNHH Billion Industrial Việt Nam đối chiếu với tình hình hoạt động kinh doanh thực tế tại đơn vị để thực hiện đúng quy định.</w:t>
      </w:r>
    </w:p>
    <w:p>
      <w:r>
        <w:t>Chi cục Thuế khu vực XVI thông báo đến Công ty TNHH Billion Industrial Việt Nam biết để thực hiện đúng theo quy định tại các văn bản quy phạm pháp luật./.</w:t>
      </w:r>
    </w:p>
    <w:p>
      <w:r>
        <w:t>Nơi nhận:</w:t>
      </w:r>
    </w:p>
    <w:p>
      <w:r>
        <w:t>- Như trên;</w:t>
      </w:r>
    </w:p>
    <w:p>
      <w:r>
        <w:t>- Lưu: VT, QLND4. (3b)</w:t>
      </w:r>
    </w:p>
    <w:p>
      <w:r>
        <w:t>KT. CHI CỤC TRƯỞNG</w:t>
      </w:r>
    </w:p>
    <w:p>
      <w:r>
        <w:t>PHÓ CHI CỤC TRƯỞNG</w:t>
      </w:r>
    </w:p>
    <w:p>
      <w:r>
        <w:t>Nguyễn Thị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