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5169/TCT-CS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5169/TCT-CS</w:t>
      </w:r>
    </w:p>
    <w:p>
      <w:r>
        <w:t>V/v giải đáp chính sách tiền thuê đất.</w:t>
      </w:r>
    </w:p>
    <w:p>
      <w:r>
        <w:t>Hà Nội, ngày 20 tháng 11 năm 2023</w:t>
      </w:r>
    </w:p>
    <w:p>
      <w:r>
        <w:t>Kính gửi:  Công ty cổ phần hạ tầng và bất động sản Việt Nam.</w:t>
      </w:r>
    </w:p>
    <w:p>
      <w:r>
        <w:t>(Đ/c: số 6 phố Nguyễn Công Hoan, P. Ngọc Khánh, Q. Ba Đình, TP. Hà Nội)</w:t>
      </w:r>
    </w:p>
    <w:p>
      <w:r>
        <w:t>Trả lời công văn số 01/CV/VIID ngày 23/10/2023 của Công ty cổ phần hạ tầng và bất động sản Việt Nam về khấu trừ tiền bồi thường, hỗ trợ vào tiền thuê đất phải nộp, tiền sử dụng đất phải nộp. Về vấn đề này, Tổng cục Thuế có ý kiến như sau:</w:t>
      </w:r>
    </w:p>
    <w:p>
      <w:r>
        <w:t>Liên quan đến vấn đề này, Bộ Tài chính đã có công văn số 15998/BTC-QLCS ngày 24/11/2017 trả lời UBND tỉnh Quảng Ngãi về việc phân bổ kinh phí bồi thường, giải phóng mặt bằng vào tiền sử dụng đất, tiền thuê đất phải nộp đối với các dự án đầu tư có hình thức sử dụng đất hỗn hợp (bản photocopy kèm theo). Đề nghị Công ty thực hiện đúng quy định của pháp luật và hướng dẫn nêu tại công văn số 15998/BTC-QLCS ngày 24/11/2017 của Bộ Tài chính.</w:t>
      </w:r>
    </w:p>
    <w:p>
      <w:r>
        <w:t>Tổng cục Thuế thông báo để Công ty cổ phần hạ tầng và bất động sản Việt Nam được biết./.</w:t>
      </w:r>
    </w:p>
    <w:p>
      <w:r>
        <w:t>Nơi nhận:</w:t>
      </w:r>
    </w:p>
    <w:p>
      <w:r>
        <w:t>- Như trên;</w:t>
      </w:r>
    </w:p>
    <w:p>
      <w:r>
        <w:t>- Phó TCTr Đặng Ngọc Minh (để b/c);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