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491/CHQ-GSQL năm 2025 thay đổi mục đích sử dụng hàng hóa đã nhập khẩu theo loại hình E31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491 / CHQ-GSQL</w:t>
      </w:r>
    </w:p>
    <w:p>
      <w:r>
        <w:t>V/v thay đổi mục đích sử dụng</w:t>
      </w:r>
    </w:p>
    <w:p>
      <w:r>
        <w:t>Hà Nội, ngày  26  tháng  03  năm 20 25</w:t>
      </w:r>
    </w:p>
    <w:p>
      <w:r>
        <w:t>Kính gửi:  Công ty TNHH MTV Semitec Electronics Việt Nam.</w:t>
      </w:r>
    </w:p>
    <w:p>
      <w:r>
        <w:t>(Đ/c: C 1 , Đường 3, khu xưởng K i zuna 2, KCN Tân Kim, Thị trấn  C ần Giuộc, Huyện Cần Giuộc, T ỉ nh Long An, Việt Nam)</w:t>
      </w:r>
    </w:p>
    <w:p>
      <w:r>
        <w:t>Trả lời công văn số 05/2025/CV-SEV ngày 15/02/2025 của Công ty TNHH MTV Semitec Electronics Việt Nam (sau đây gọi tắt là Công ty) về việc thay đổi mục đích sử dụng hàng hóa đã nhập khẩu theo loại hình E31, Cục Hải quan có ý kiến như sau:</w:t>
      </w:r>
    </w:p>
    <w:p>
      <w:r>
        <w:t>Căn cứ khoản 5 Điều 25 Nghị định số 08/2015/NĐ-CP ngày 21/01/2015 được sửa đổi, bổ sung tại khoản 12 Điều 1 Nghị định số 59/2018/NĐ-CP ngày 20/4/2018 của Chính phủ; khoản 1, khoản 2 Điều 21 Thông tư số 38/2015/TT-BTC ngày 25/3/2015 được sửa đổi, bổ sung tại khoản 10 Điều 1 Thông tư số 39/2018/TT-BTC ngày 20/4/2018 của Bộ Tài chính quy định về khai thay đổi mục đích sử dụng, chuyển tiêu thụ nội địa.</w:t>
      </w:r>
    </w:p>
    <w:p>
      <w:r>
        <w:t>Căn cứ Bảng mã loại hình và hướng dẫn sử dụng kèm theo Quyết định số 1357/QĐ-TCHQ ngày 18/5/2021 của Tổng cục trưởng Tổng cục Hải quan.</w:t>
      </w:r>
    </w:p>
    <w:p>
      <w:r>
        <w:t>Theo đó, trường hợp hàn g  hóa là nguyên liệu, vật tư, linh kiện nhập khẩu để gia công, sản xuất hàng hóa xu ấ t khẩu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 ợ p đã thực hiện đầy đủ chính sách quản lý hàng hóa xuất khẩu, nhập khẩu tại thời điểm đăng ký tờ khai ban đầu. Trường hợp hàng hóa là nguyên liệu, vật tư đã cấu thành lên sản phẩm khi thay đổi mục đích sử dụng, chuyển tiêu thụ nội địa, người khai hải quan thực hiện khai báo nguyên liệu, vật tư ban đầu và sản phẩm hoàn chỉnh tại các dòng hàng riêng biệt trên tờ khai. Trong đó thực hiện khai sản phẩm hoàn chỉnh trên một dòng hàng, không khai thuế đối với dòng hàng là sản phẩm hoàn chỉnh; khai nguyên liệu, vật tư nhập khẩu ban đầu (tại chỉ tiêu “mã số quản lý riêng” của dòng hàng khai mã “TĐMĐSDSP”) và tính thuế đối với nguyên liệu, vật tư trên các dòng hàng tiếp theo của tờ khai. Chính sách mặt hàng áp dụng đối với sản phẩm hoàn chỉnh theo quy định của pháp luật chuyên ngành.</w:t>
      </w:r>
    </w:p>
    <w:p>
      <w:r>
        <w:t>Đề nghị Công ty căn cứ các quy định nêu trên đồng thời đối chiếu v ớ i thực tế hoạt động kinh tế phát sinh của Công ty để thực hiện đúng quy định. Trường hợp còn vướng mắc thì liên hệ với cơ quan Hải quan nơi dự kiến đăng ký tờ khai để được hướng dẫn cụ thể.</w:t>
      </w:r>
    </w:p>
    <w:p>
      <w:r>
        <w:t>Cục Hải quan trả lời đ ể  Công ty bi ế t và thực hiện ./.</w:t>
      </w:r>
    </w:p>
    <w:p>
      <w:r>
        <w:t>Nơi nhận:</w:t>
      </w:r>
    </w:p>
    <w:p>
      <w:r>
        <w:t>- Như  tr ên;</w:t>
      </w:r>
    </w:p>
    <w:p>
      <w:r>
        <w:t>- Lưu: VT, GSQL (3b).</w:t>
      </w:r>
    </w:p>
    <w:p>
      <w:r>
        <w:t>TL. CỤC TRƯỞNG</w:t>
      </w:r>
    </w:p>
    <w:p>
      <w:r>
        <w:t>KT. TRƯỞNG BAN GSQL VỀ HQ</w:t>
      </w:r>
    </w:p>
    <w:p>
      <w:r>
        <w:t>PHÓ TRƯỞNG BAN</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