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4589/TCT-CS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4589/TCT-CS</w:t>
      </w:r>
    </w:p>
    <w:p>
      <w:r>
        <w:t>V/v chính sách thuế</w:t>
      </w:r>
    </w:p>
    <w:p>
      <w:r>
        <w:t>Hà Nội, ngày 16 tháng 10 năm 2023</w:t>
      </w:r>
    </w:p>
    <w:p>
      <w:r>
        <w:t>Kính gửi:  Công ty TNHH Pantra Vina.</w:t>
      </w:r>
    </w:p>
    <w:p>
      <w:r>
        <w:t>(đ/c: Lô CN1A, KCN DEEP C-2B, khu kinh tế Đình Vũ - Cát Hải, phường Đông Hải 2, quận Hải An, thành phố Hải Phòng)</w:t>
      </w:r>
    </w:p>
    <w:p>
      <w:r>
        <w:t>Tổng cục Thuế nhận được công văn số 258/PTVN-CV ngày 25/8/2023 của Công ty TNHH Pantra Vina về chính sách thuế. Về vấn đề này, Tổng cục Thuế có ý kiến như sau:</w:t>
      </w:r>
    </w:p>
    <w:p>
      <w:r>
        <w:t>Căn cứ Điều 105 và Điều 115 Bộ Luật dân sự số 91/2015/QH13 ngày 29/11/2015 quy định về tài sản và quyền tài sản;</w:t>
      </w:r>
    </w:p>
    <w:p>
      <w:r>
        <w:t>Căn cứ khoản 2 Điều 450 Bộ Luật dân sự số 91/2015/QH13 ngày 29/11/2015 quy định về mua bán quyền tài sản;</w:t>
      </w:r>
    </w:p>
    <w:p>
      <w:r>
        <w:t>Căn cứ điểm h khoản 1 Điều 6 Luật đầu tư số 61/2020/QH14 ngày 17/6/2020 quy định về ngành, nghề cấm đầu tư kinh doanh;</w:t>
      </w:r>
    </w:p>
    <w:p>
      <w:r>
        <w:t>Căn cứ điểm đ, khoản 2 Điều 131 Nghị định số 31/2021/NĐ-CP ngày 26/3/2021 của Chính phủ quy định chi tiết và hướng dẫn thi hành một số điều của Luật Đầu tư;</w:t>
      </w:r>
    </w:p>
    <w:p>
      <w:r>
        <w:t>Căn cứ khoản 1 Điều 4 Nghị định số 123/2020/NĐ-CP ngày 19/10/2020 của Chính phủ quy định nguyên tắc lập, quản lý, sử dụng hóa đơn, chứng từ;</w:t>
      </w:r>
    </w:p>
    <w:p>
      <w:r>
        <w:t>Căn cứ điểm đ khoản 2 Điều 3 Nghị định số 209/2013/NĐ-CP ngày 18/12/2013 của Chính phủ quy định về đối tượng không chịu thuế;</w:t>
      </w:r>
    </w:p>
    <w:p>
      <w:r>
        <w:t>Theo hướng dẫn tại Điểm 17 Phụ lục V danh mục thuế suất kèm theo Quyết định số 1450/QĐ-TCT ngày 07/10/2021 (được sửa đổi tại Quyết định số 1510/QĐ-TCT ngày 21/9/2022 của Tổng cục trưởng Tổng cục Thuế) của Tổng cục trưởng Tổng cục Thuế ban hành quy định về thành phần chứa dữ liệu nghiệp vụ hóa đơn điện tử và phương thức truyền nhận với cơ quan thuế.</w:t>
      </w:r>
    </w:p>
    <w:p>
      <w:r>
        <w:t>Ngày 07/8/2023, Cục Thuế thành phố Hải Phòng đã có công văn số 4171/CTHPH-TTHT trả lời Công ty về nguyên tắc lập hóa đơn và kê khai thuế GTGT đối với hoạt động mua, bán nợ.</w:t>
      </w:r>
    </w:p>
    <w:p>
      <w:r>
        <w:t>Trường hợp còn vướng mắc về việc hạch toán doanh thu đối với hoạt động mua, bán nợ thì đề nghị Công ty liên hệ với Cục Quản lý, giám sát kế toán, kiểm toán - Bộ Tài chính để được hướng dẫn cụ thể.</w:t>
      </w:r>
    </w:p>
    <w:p>
      <w:r>
        <w:t>Tổng cục Thuế có ý kiến để Công ty TNHH Pantra Vina được biết./.</w:t>
      </w:r>
    </w:p>
    <w:p>
      <w:r>
        <w:t>Nơi nhận:</w:t>
      </w:r>
    </w:p>
    <w:p>
      <w:r>
        <w:t>- Như trên;</w:t>
      </w:r>
    </w:p>
    <w:p>
      <w:r>
        <w:t>- Phó TCTr Đặng Ngọc Minh (để b/c);</w:t>
      </w:r>
    </w:p>
    <w:p>
      <w:r>
        <w:t>- Cục Thuế TP Hải Phòng;</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