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4267/CTHN-TTHT năm 2024 chính sách thuế giá trị gia tăng khi sáp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4267/CTHN-TTHT</w:t>
      </w:r>
    </w:p>
    <w:p>
      <w:r>
        <w:t>V/v chính sách thuế GTGT khi sáp nhập doanh nghiệp</w:t>
      </w:r>
    </w:p>
    <w:p>
      <w:r>
        <w:t>Hà Nội, ngày 22 tháng 01 năm 2024</w:t>
      </w:r>
    </w:p>
    <w:p>
      <w:r>
        <w:t>Kính gửi:    Công ty TNHH Rhythm Kyoshin Hà Nội</w:t>
      </w:r>
    </w:p>
    <w:p>
      <w:r>
        <w:t>(Địa chỉ: Lô 69A1 và 69A2, Khu công nghiệp Nội Bài, Xã Mai Đình, Huyện Sóc Sơn, TP Hà Nội; MST: 0105992922)</w:t>
      </w:r>
    </w:p>
    <w:p>
      <w:r>
        <w:t>Trả lời văn bản số 03.23/CV-RKH-THN đề ngày 22/11/2023 của Công ty TNHH Rhythm Kyoshin Hà Nội (sau đây gọi tắt là “Công ty”) đề nghị hướng dẫn về chính sách thuế GTGT khi thực hiện sáp nhập doanh nghiệp. Cục Thuế TP Hà Nội có ý kiến như sau:</w:t>
      </w:r>
    </w:p>
    <w:p>
      <w:r>
        <w:t>- Căn cứ Luật Doanh nghiệp số 59/2020/QH14 ngày 17/06/2020 quy định:</w:t>
      </w:r>
    </w:p>
    <w:p>
      <w:r>
        <w:t>+ Tại Điều 201 quy định về Sáp nhập công ty:</w:t>
      </w:r>
    </w:p>
    <w:p>
      <w: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
        <w:t>…</w:t>
      </w:r>
    </w:p>
    <w:p>
      <w:r>
        <w:t>2. Thủ tục sáp nhập công ty được quy định như sau:</w:t>
      </w:r>
    </w:p>
    <w:p>
      <w:r>
        <w:t>…</w:t>
      </w:r>
    </w:p>
    <w:p>
      <w:r>
        <w:t>c)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p>
    <w:p>
      <w:r>
        <w:t>…”</w:t>
      </w:r>
    </w:p>
    <w:p>
      <w:r>
        <w:t>- Căn cứ Thông tư số 130/2016/TT-BTC ngày 12/08/2016 của Bộ Tài chính hướng dẫn Nghị định số 100/2016/NĐ-CP ngày 01/7/2016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 Tại Khoản 3 Điều 1 sửa đổi, bổ sung Điều 18 Thông tư 219/2013/TT-BTC ngày 31/12/2013:</w:t>
      </w:r>
    </w:p>
    <w:p>
      <w: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r>
        <w:t>…”</w:t>
      </w:r>
    </w:p>
    <w:p>
      <w:r>
        <w:t>- Căn cứ Điều 31 Thông tư số 80/2021/TT-BTC ngày 29/9/2021 của Bộ Tài chính quy định hồ sơ đề nghị hoàn thuế giá trị gia tăng đầu vào chưa được khấu trừ hết khi chuyển đổi sở hữu, chuyển đổi doanh nghiệp, sáp nhập, hợp nhất, chia, tách, giải thể, phá sản, chấm dứt hoạt động</w:t>
      </w:r>
    </w:p>
    <w:p>
      <w:r>
        <w:t>“1. Trường hợp thuộc diện cơ quan thuế phải kiểm tra tại trụ sở của người nộp thuế theo quy định tại điểm g khoản 1 Điều 110 Luật Quản lý thuế và Chương VIII Thông tư này thì người nộp thuế không phải gửi Giấy đề nghị hoàn trả khoản thu ngân sách nhà nước.</w:t>
      </w:r>
    </w:p>
    <w:p>
      <w:r>
        <w:t>Cơ quan thuế căn cứ kết quả kiểm tra tại Kết luận hoặc Quyết định xử lý và các tài liệu kiểm tra khác để xác định số thuế giá trị gia tăng đầu vào chưa được khấu trừ hết đủ điều kiện hoàn thuế và thực hiện giải quyết hoàn thuế cho người nộp thuế theo quy định tại Mục này.</w:t>
      </w:r>
    </w:p>
    <w:p>
      <w:r>
        <w:t>…”</w:t>
      </w:r>
    </w:p>
    <w:p>
      <w:r>
        <w:t>Căn cứ các quy định trên,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
        <w:t>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 theo quy định tại Điều 201 Luật Doanh nghiệp số 59/2020/QH14.</w:t>
      </w:r>
    </w:p>
    <w:p>
      <w:r>
        <w:t>Trường hợp Công ty nộp thuế giá trị gia tăng theo phương pháp khấu, có số thuế giá trị gia tăng đầu vào chưa được khấu trừ hết thì được hoàn thuế giá trị gia tăng khi thực hiện sáp nhập doanh nghiệp theo quy định tại Điều 1 Thông tư số 130/2016/TT-BTC.</w:t>
      </w:r>
    </w:p>
    <w:p>
      <w:r>
        <w:t>Cơ quan thuế căn cứ kết quả kiểm tra tại Kết luận hoặc Quyết định xử lý và các tài liệu kiểm tra khác để xác định số thuế giá trị gia tăng đầu vào chưa được khấu trừ hết đủ điều kiện hoàn thuế và thực hiện giải quyết hoàn thuế cho người nộp thuế theo quy định theo quy định tại Điều 31 Thông tư số 80/2021/TT-BTC.</w:t>
      </w:r>
    </w:p>
    <w:p>
      <w:r>
        <w:t>Đề nghị Công ty căn cứ các quy định của pháp luật được trích dẫn nêu trên và đối chiếu với tình hình thực tế của doanh nghiệp để thực hiện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TNHH Rhythm Kyoshin Hà Nội được biết và thực hiện./.</w:t>
      </w:r>
    </w:p>
    <w:p>
      <w:r>
        <w:t>Nơi nhận:</w:t>
      </w:r>
    </w:p>
    <w:p>
      <w:r>
        <w:t>- Như trên;</w:t>
      </w:r>
    </w:p>
    <w:p>
      <w:r>
        <w:t>- Phòng NVDTPC;</w:t>
      </w:r>
    </w:p>
    <w:p>
      <w:r>
        <w:t>- Phòng 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