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41477/CTHN-TTHT năm 2023 trích lập dự phòng nợ phải thu khó đòi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41477/CTHN-TTHT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41477/CTHN-TTHT</w:t>
      </w:r>
    </w:p>
    <w:p>
      <w:r>
        <w:t>V/v trích lập dự phòng nợ phải thu khó đòi</w:t>
      </w:r>
    </w:p>
    <w:p>
      <w:r>
        <w:t>Hà Nội , ngày  14  tháng  06  năm  2023</w:t>
      </w:r>
    </w:p>
    <w:p>
      <w:r>
        <w:t>Kính gử i:     Ngân hàng TMCP Việt Á</w:t>
      </w:r>
    </w:p>
    <w:p>
      <w:r>
        <w:t>Đ/c: Tầng 4 và 5, tòa nhà Samsora Premier, số  105  Chu Văn An, P. Yết Kiêu, Q. Hà Đông, TP. Hà Nội; MST: 0302963695</w:t>
      </w:r>
    </w:p>
    <w:p>
      <w:r>
        <w:t>Trả lời công văn số 1353b/2023/CV-VAB ngày 12/05/2023 của Ngân hàng TMCP Việt Á (sau đây gọi là Ngân hàng) về trích lập dự phòng nợ phải thu khó đòi, Cục Thuế TP Hà Nội có ý kiến như sau:</w:t>
      </w:r>
    </w:p>
    <w:p>
      <w:r>
        <w:t>- Căn cứ Điều 4 Thông tư số 96/2015/TT-BTC ngày 22/6/2015 của Bộ Tài chính sửa đổi, bổ sung Điều 6 Thông tư số 78/2014/TT-BTC ngày 18/6/20 1 4 của Bộ Tài chính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2. Các khoản chi không được trừ khi xác định thu nhập chịu thuế bao gồm:</w:t>
      </w:r>
    </w:p>
    <w:p>
      <w:r>
        <w:t>…</w:t>
      </w:r>
    </w:p>
    <w:p>
      <w:r>
        <w:t>2.19. Trích, lập và sử dụng các khoản dự phòng  không theo đúng hướng dẫn của Bộ Tài chính  về trích lập dự phòng: dự phòng giảm giá hàng tồn kho, dự phòng tổn thất các khoản đầu tư tài chính,  dự phòng nợ phải thu khó  đòi, dự phòng bảo hành sản phẩm, hàng hóa, công trình xây lắp và dự phòng rủi ro nghề nghiệp của doanh nghiệp thẩm định giá, doanh nghiệp cung cấp dịch vụ kiểm toán độc lập.</w:t>
      </w:r>
    </w:p>
    <w:p>
      <w:r>
        <w:t>…”</w:t>
      </w:r>
    </w:p>
    <w:p>
      <w:r>
        <w:t>- Căn cứ Điều 6 Thông tư số 48/2019/TT-BTC ngày 08/08/2019 của Bộ Tài chính về việc hướng dẫn dự phòng nợ phải thu khó đòi:</w:t>
      </w:r>
    </w:p>
    <w:p>
      <w:r>
        <w:t>“Điều 6. Dự phòng nợ phải thu khó đòi</w:t>
      </w:r>
    </w:p>
    <w:p>
      <w:r>
        <w:t>1. Đối tượng lập dự phòng là các khoản nợ phải thu (bao gồm cả các khoản doanh nghiệp đang cho vay và khoản trái phiếu chưa đăng ký giao dịch trên thị trường chứng khoán mà doanh nghiệp đang sở hữu) đã quá hạn thanh toán và các khoản nợ phải thu chưa đến hạn thanh toán nhưng có khả năng doanh nghiệp không thu hồi được đúng hạn, đồng thời đảm bảo điều kiện sau:</w:t>
      </w:r>
    </w:p>
    <w:p>
      <w:r>
        <w:t>a) Phải có chứng từ gốc chứng minh số tiền đối tượng nợ chưa trả, bao gồm:</w:t>
      </w:r>
    </w:p>
    <w:p>
      <w:r>
        <w:t>- Một trong số các chứng từ gốc sau: Hợp đồng kinh tế, khế ước vay nợ, cam kết nợ;</w:t>
      </w:r>
    </w:p>
    <w:p>
      <w:r>
        <w:t>- Bản thanh lý hợp đồng (nếu có);</w:t>
      </w:r>
    </w:p>
    <w:p>
      <w:r>
        <w:t>- Đối chiếu công nợ; trường hợp không có đối chiếu công nợ thì phải có văn bản đề nghị đối chiếu xác nhận công nợ hoặc văn bản đòi nợ do doanh nghiệp đã gửi (có dấu bưu điện hoặc xác nhận của đơn vị chuyển phát);</w:t>
      </w:r>
    </w:p>
    <w:p>
      <w:r>
        <w:t>- Bảng kê công nợ;</w:t>
      </w:r>
    </w:p>
    <w:p>
      <w:r>
        <w:t>- Các chứng từ khác có liên quan (nếu có).</w:t>
      </w:r>
    </w:p>
    <w:p>
      <w:r>
        <w:t>b) Có đủ căn cứ xác định là khoản nợ phải thu khó đòi:</w:t>
      </w:r>
    </w:p>
    <w:p>
      <w:r>
        <w:t>- Nợ phải thu đã quá thời hạn thanh toán từ 06 tháng trở lên (tính theo thời hạn trả nợ gốc ban đầu theo hợp đồng kinh tế, khế ước vay nợ hoặc các cam kết nợ khác, không tính đến thời gian gia hạn trả nợ giữa các bên), doanh nghiệp đã gửi đối chiếu xác nhận nợ hoặc đôn đốc thanh toán nhưng vẫn chưa thu hồi được nợ.</w:t>
      </w:r>
    </w:p>
    <w:p>
      <w:r>
        <w:t>- Nợ phải thu chưa đến hạn thanh toán nhưng doanh nghiệp thu thập được các bằng chứng xác định đối tượng nợ có khả năng không trả được nợ đúng hạn theo quy định tại điểm c khoản 2 Điều này.</w:t>
      </w:r>
    </w:p>
    <w:p>
      <w:r>
        <w:t>- Riêng đối với các khoản nợ mua của doanh nghiệp mua bán nợ (có đăng ký ngành nghề và hoạt động mua bán nợ theo đúng quy định của pháp luật), thời gian quá hạn được tính kể từ ngày chuyển giao quyền chủ nợ giữa các bên (trên cơ sở biên bản hoặc thông báo bàn giao quyền chủ nợ) hoặc theo cam kết gần nhất (nếu có) giữa doanh nghiệp đối tượng nợ và doanh nghiệp mua bán nợ.</w:t>
      </w:r>
    </w:p>
    <w:p>
      <w:r>
        <w:t>2. Mức trích lập:</w:t>
      </w:r>
    </w:p>
    <w:p>
      <w:r>
        <w:t>a) Đối với nợ phải thu quá hạn thanh toán, mức trích lập dự phòng như sau:</w:t>
      </w:r>
    </w:p>
    <w:p>
      <w:r>
        <w:t>- 30% giá trị đối với khoản nợ phải thu quá hạn từ 6 tháng đến dưới 1 năm.</w:t>
      </w:r>
    </w:p>
    <w:p>
      <w:r>
        <w:t>- 50% giá trị đối với khoản nợ phải thu quá hạn từ 1 năm đến dưới 2 năm.</w:t>
      </w:r>
    </w:p>
    <w:p>
      <w:r>
        <w:t>- 70% giá trị đối với khoản nợ phải thu quá hạn từ 2 năm đến dưới 3 năm.</w:t>
      </w:r>
    </w:p>
    <w:p>
      <w:r>
        <w:t>- 100% giá trị đối với khoản nợ phải thu từ 3 năm trở lên.</w:t>
      </w:r>
    </w:p>
    <w:p>
      <w:r>
        <w:t>…”</w:t>
      </w:r>
    </w:p>
    <w:p>
      <w:r>
        <w:t>Căn cứ các quy định nêu trên, trường hợp Ngân hàng trích, lập và sử dụng khoản dự phòng nợ phải thu khó đòi theo đúng hướng dẫn của Bộ Tài chính và đáp ứng các điều kiện quy định tại Điều 4 Thông tư số 96/2015/TT-BTC ngày 22/06/2015 của Bộ Tài chính nêu trên thì khoản trích lập dự phòng nợ phải thu khó đòi được tính vào chi phí được trừ khi tính thu nhập chịu thuế TNDN.</w:t>
      </w:r>
    </w:p>
    <w:p>
      <w:r>
        <w:t>Việc trích, lập và sử dụng khoản dự phòng nợ phải thu khó đòi, đề nghị Ngân hàng căn cứ các quy định tại Điều 6 Thông tư số 48/2019/TT-BTC nêu trên, đối chiếu với tình hình thực tế phát sinh tại Ngân hàng để thực hiện theo đ ú ng quy định. Trường hợp Ngân hàng còn vướng mắc trong việc thực hiện trích lập dự phòng nợ phải thu khó đòi theo quy định tại Thông tư số 48/2019/TT-BTC, đề nghị Ngân hàng liên hệ đến cơ quan có th ẩ m quyền (Cục Tài chính doanh nghiệp  -  Bộ Tài chính) để được hướng dẫn.</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trả lời để Ngân hàng TMCP Việt Á được biết và thực hiện. /.</w:t>
      </w:r>
    </w:p>
    <w:p>
      <w:r>
        <w:t>Nơi nhận:</w:t>
      </w:r>
    </w:p>
    <w:p>
      <w:r>
        <w:t>- Như trên;</w:t>
      </w:r>
    </w:p>
    <w:p>
      <w:r>
        <w:t>- Phòng TTKT8;</w:t>
      </w:r>
    </w:p>
    <w:p>
      <w:r>
        <w:t>- Phòng NVDTPC ;</w:t>
      </w:r>
    </w:p>
    <w:p>
      <w:r>
        <w:t>- Website Cục Thuế;</w:t>
      </w:r>
    </w:p>
    <w:p>
      <w:r>
        <w:t>- Lưu: VT, TTHT(2) .</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