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41/TCT-CS</w:t>
      </w:r>
    </w:p>
    <w:p>
      <w:r>
        <w:t>V/v thuế GTGT</w:t>
      </w:r>
    </w:p>
    <w:p>
      <w:r>
        <w:t>Hà Nội, ngày 04 tháng 01 năm 2024</w:t>
      </w:r>
    </w:p>
    <w:p>
      <w:r>
        <w:t>Kính gửi:  Cục Thuế tỉnh Bắc Ninh.</w:t>
      </w:r>
    </w:p>
    <w:p>
      <w:r>
        <w:t>Tổng cục Thuế nhận được công văn số 4791/CTBNI-TTKT2 ngày 09/10/2023 của Cục Thuế tỉnh Bắc Ninh về thuế GTGT. Về vấn đề này, Tổng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d Khoản 2 Điều 7 Nghị định số 126/2020/NĐ-CP ngày 19/10/2020 quy định về hồ sơ khai thuế;</w:t>
      </w:r>
    </w:p>
    <w:p>
      <w:r>
        <w:t>Căn cứ điểm b khoản 4 Điều 7 Nghị định số 126/2020/NĐ-CP ngày 19/10/2020 của Chính phủ quy định về khai bổ sung hồ sơ khai thuế.</w:t>
      </w:r>
    </w:p>
    <w:p>
      <w:r>
        <w:t>Căn cứ các quy định, hướng dẫn trên, đề nghị Cục Thuế tỉnh Bắc Ninh căn cứ quy định của Luật thuế GTGT, Luật Quản lý thuế và các văn bản hướng dẫn thực hiện, tình hình thực tế và hồ sơ khai thuế, hoàn thuế cụ thể của Công ty TNHH Pin Shine Việt Nam, xác định chính xác số thuế giá trị gia tăng đầu vào của hàng hóa, dịch vụ mua vào sử dụng cho đầu tư, phát sinh trong giai đoạn đầu tư để xem xét xử lý theo quy định và theo thẩm quyền.</w:t>
      </w:r>
    </w:p>
    <w:p>
      <w:r>
        <w:t>Tổng cục Thuế có ý kiến để Cục Thuế tỉnh Bắc Ninh được biết./.</w:t>
      </w:r>
    </w:p>
    <w:p>
      <w:r>
        <w:t>Nơi nhận:</w:t>
      </w:r>
    </w:p>
    <w:p>
      <w:r>
        <w:t>- Như trên;</w:t>
      </w:r>
    </w:p>
    <w:p>
      <w:r>
        <w:t>- Phó TCTr Đặng Ngọc Minh (để b/c);</w:t>
      </w:r>
    </w:p>
    <w:p>
      <w:r>
        <w:t>- Vụ PC, KK-TCT;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