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39488/CTHN-TTHT năm 2024 về chính sách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39488/CTHN-TTHT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39488/CTHN-TTHT</w:t>
      </w:r>
    </w:p>
    <w:p>
      <w:r>
        <w:t>V/v Chính sách thuế TNCN</w:t>
      </w:r>
    </w:p>
    <w:p>
      <w:r>
        <w:t>Hà Nội, ngày 04 tháng 7 năm 2024</w:t>
      </w:r>
    </w:p>
    <w:p>
      <w:r>
        <w:t>Kính gửi:  Văn phòng đại diện The Zenitaka Corporation tại Hà Nội</w:t>
      </w:r>
    </w:p>
    <w:p>
      <w:r>
        <w:t>(Địa chỉ: Tầng 15, tòa nhà Zodiac phố Duy Tân, Phường Dịch Vọng Hậu, Quận Cầu Giấy, Hà Nội, MST: 0101604512)</w:t>
      </w:r>
    </w:p>
    <w:p>
      <w:r>
        <w:t>Trả lời công văn số ZENI-HNO/02/2024 đề ngày 08/05/202420/06/2024 của Văn phòng đại diện The Zenitaka Corporation tại Hà Nội (gọi tắt là Công ty) về chính sách thuế TNCN đối với hoạt động chơi Golf, Cục Thuế TP Hà Nội có ý kiến như sau:</w:t>
      </w:r>
    </w:p>
    <w:p>
      <w:r>
        <w:t>- Căn cứ Khoản 2 Điều 2 Thông tư số 111/2013/TT-BTC ngày 15/8/2013 (được sửa đổi, bổ sung tại Khoản 2 Điều 11 Thông tư số 92/2015/TT-BTC ngày 15/6/2015) của Bộ Tài chính hướng dẫn thu nhập từ tiền lương, tiền công:</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w:t>
      </w:r>
    </w:p>
    <w:p>
      <w:r>
        <w:t>đ) Các khoản lợi ích bằng tiền hoặc không bằng tiền ngoài tiền lương, tiền công do người sử dụng lao động trả mà người nộp thuế được hưởng dưới mọi hình thức:</w:t>
      </w:r>
    </w:p>
    <w:p>
      <w:r>
        <w:t>…</w:t>
      </w:r>
    </w:p>
    <w:p>
      <w:r>
        <w:t>đ.3) Phí hội viên và các khoản chi dịch vụ khác phục vụ cho cá nhân theo yêu cầu như: chăm sóc sức khoẻ, vui chơi, thể thao, giải trí, thẩm mỹ, cụ thể như sau:</w:t>
      </w:r>
    </w:p>
    <w:p>
      <w:r>
        <w:t>đ.3.1) Khoản phí hội viên (như thẻ hội viên sân gôn, sân quần vợt, thẻ sinh hoạt câu lạc bộ văn hóa nghệ thuật, thể dục thể thao...) nếu thẻ có ghi đích danh cá nhân hoặc nhóm cá nhân sử dụng. Trường hợp thẻ được sử dụng chung, không ghi tên cá nhân hoặc nhóm cá nhân sử dụng thì không tính vào thu nhập chịu thuế”.</w:t>
      </w:r>
    </w:p>
    <w:p>
      <w:r>
        <w:t>Căn cứ các quy định trên, trường hợp Công ty có cử một hoặc vài nhân sự tham gia chơi Golf để giao lưu hợp tác với khách hàng thì:</w:t>
      </w:r>
    </w:p>
    <w:p>
      <w:r>
        <w:t>1. Nếu các chứng từ và hóa đơn chi phí chơi Golf đều mang tên Công ty thì khoản chi phí này không phải là thu nhập người lao động nhận được nên không tính vào thu nhập chịu thuế TNCN.</w:t>
      </w:r>
    </w:p>
    <w:p>
      <w:r>
        <w:t>2. Nếu thẻ chơi Golf ghi đích danh tên người đại diện là nhân sự của Công ty thì chi phí đó tính vào thu nhập chịu thuế để tính thuế TNCN đối với cá nhân tham gia.</w:t>
      </w:r>
    </w:p>
    <w:p>
      <w:r>
        <w:t>Đề nghị Công ty căn cứ các quy định của pháp luật nêu trên và đối chiếu với tình hình thực tế phát sinh để thực hiện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Quản lý hộ kinh doanh, Cá nhân và thu khác để được hỗ trợ giải quyết.</w:t>
      </w:r>
    </w:p>
    <w:p>
      <w:r>
        <w:t>Cục Thuế TP Hà Nội trả lời để Công ty được biết và thực hiện./.</w:t>
      </w:r>
    </w:p>
    <w:p>
      <w:r>
        <w:t>Nơi nhận:</w:t>
      </w:r>
    </w:p>
    <w:p>
      <w:r>
        <w:t>- Như trên;</w:t>
      </w:r>
    </w:p>
    <w:p>
      <w:r>
        <w:t>- Phòng QLHKD, CN và thu khác;</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