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3931/TCHQ-TXNK năm 2024 về xử lý đối với hàng hóa nhập khẩu miễn thuế tự ý thay đổi mục đích sử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3931/TCHQ-TXNK</w:t>
      </w:r>
    </w:p>
    <w:p>
      <w:r>
        <w:t>V/v xử lý đối với hàng hóa nhập khẩu miễn thuế tự ý thay đổi mục đích sử dụng</w:t>
      </w:r>
    </w:p>
    <w:p>
      <w:r>
        <w:t>Hà Nội, ngày 19 tháng 8 năm 2024</w:t>
      </w:r>
    </w:p>
    <w:p>
      <w:r>
        <w:t>Kính gửi:  Cục Hải quan tỉnh An Giang.</w:t>
      </w:r>
    </w:p>
    <w:p>
      <w:r>
        <w:t>Tổng cục Hải quan nhận được công văn số 1080/HQAG-NV ngày 11/6/2024 của Cục Hải quan tỉnh An Giang báo cáo vướng mắc trong việc xử lý thuế đối với hàng hoá nhập khẩu miễn thuế nhưng thay đổi mục đích sử dụng. Vấn đề này, Tổng cục Hải quan có ý kiến như sau:</w:t>
      </w:r>
    </w:p>
    <w:p>
      <w:r>
        <w:t>1. Về việc thực hiện thủ tục chuyển nhượng dự án đầu tư đối với hàng hoá miễn thuế nhập khẩu</w:t>
      </w:r>
    </w:p>
    <w:p>
      <w:r>
        <w:t>Căn cứ tại điểm d khoản 5 Điều 31 Nghị định 134/2016/NĐ-CP được sửa đổi, bổ sung tại khoản 14 Điều 1 Nghị định 18/2021/NĐ-CP quy định:</w:t>
      </w:r>
    </w:p>
    <w:p>
      <w:r>
        <w:t>“d) Trường hợp chuyển nhượng toàn bộ hoặc một phần dự án thuộc đối tượng ưu đãi đầu tư cho tổ chức, cá nhân khác, chủ dự án thông báo các chỉ tiêu thông tin quy định tại Mẫu số 06 Phụ lục VIIa ban hành kèm theo Nghị định này thông qua Hệ thống xử lý dữ liệu điện tử hoặc theo Mẫu số 17 Phụ lục VII ban hành kèm theo Nghị định này cho cơ quan hải quan nơi tiếp nhận thông báo Danh mục miễn thuế trước khi chuyển 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đối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r>
        <w:t>Căn cứ quy định nêu trên, đối chiếu với trường hợp Công ty cổ phần xuất nhập khẩu Thịnh Phú An Giang không thông báo cho cơ quan hải quan trước khi chuyển nhượng hàng hoá, doanh nghiệp nhận chuyển nhượng không đăng ký tờ khai hải quan mới cho cơ quan hải quan, do đó, không đủ điều kiện để tiếp tục được miễn thuế nhập khẩu theo quy định tại điểm d khoản 5 Điều 31 Nghị định 134/2016/NĐ-CP được sửa đổi, bổ sung tại khoản 14 Điều 1 Nghị định 18/2021/NĐ-CP.</w:t>
      </w:r>
    </w:p>
    <w:p>
      <w:r>
        <w:t>2. Về nghĩa vụ nộp thuế đối với hàng hoá nhập khẩu miễn thuế nhưng thay đổi mục đích sử dụng</w:t>
      </w:r>
    </w:p>
    <w:p>
      <w:r>
        <w:t>Căn cứ Điều 25 Nghị định số 08/2015/NĐ-CP, khoản 12 Điều 1 Nghị định số 59/2018/NĐ-CP</w:t>
      </w:r>
    </w:p>
    <w:p>
      <w:r>
        <w:t>“Đối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Căn cứ quy định nêu trên trường hợp Công ty cổ phần xuất nhập khẩu Thịnh Phú An Giang nhập khẩu hàng hoá thuộc đối tượng miễn thuế khi thay đổi mục đích sử dụng phải đăng ký tờ khai hải quan mới, kê khai nộp đủ số tiền thuế cho cơ quan hải quan. Trường hợp sau khi làm việc với Công ty cổ phần xuất nhập khẩu Thịnh Phú An Giang và các bên có liên quan nhưng không thu hồi được số tiền thuế phải nộp thì Cục Hải quan tỉnh An Giang căn cứ hồ sơ vụ việc, các chứng từ, tài liệu có liên quan, hành vi vi phạm cụ thể của từng đối tượng để xem xét xử phạt vi phạm hành chính hoặc kiến nghị cơ quan có thẩm quyền truy cứu trách nhiệm hình sự (nếu có dấu hiệu của tội phạm).</w:t>
      </w:r>
    </w:p>
    <w:p>
      <w:r>
        <w:t>Tổng cục Hải quan trả lời để Cục Hải quan tỉnh An Giang được biết, thực hiện./.</w:t>
      </w:r>
    </w:p>
    <w:p>
      <w:r>
        <w:t>Nơi nhận:</w:t>
      </w:r>
    </w:p>
    <w:p>
      <w:r>
        <w:t>- Như trên;</w:t>
      </w:r>
    </w:p>
    <w:p>
      <w:r>
        <w:t>- PTCT-Hoàng Việt Cường (để b/c);</w:t>
      </w:r>
    </w:p>
    <w:p>
      <w:r>
        <w:t>- Lưu: VT, TXNK-Hoà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