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3646/CT-CS năm 2025 về chính sách thuế thu nhập doanh nghiệp đối với doanh nghiệp có hoạt động trường mẫu giáo và sử dụng lao động nữ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3646/CT-CS</w:t>
      </w:r>
    </w:p>
    <w:p>
      <w:r>
        <w:t>V/v chính sách thuế</w:t>
      </w:r>
    </w:p>
    <w:p>
      <w:r>
        <w:t>Hà Nội, ngày 08 tháng 9 năm 2025</w:t>
      </w:r>
    </w:p>
    <w:p>
      <w:r>
        <w:t>Kính gửi:  TNHH Đông Phương Đồng Nai Việt Nam</w:t>
      </w:r>
    </w:p>
    <w:p>
      <w:r>
        <w:t>(Địa chỉ: Khu công nghiệp Sông Mây, xã Bắc Sơn, huyện Trảng Bom, tỉnh Đồng Nai)</w:t>
      </w:r>
    </w:p>
    <w:p>
      <w:r>
        <w:t>Cục Thuế nhận được văn bản số 04.2025/DO-SO ngày 04/4/2025, văn bản số 06.2025/DO-SO ngày 19/6/2025 của Công ty TNHH Đông Phương Đồng Nai Việt Nam (Công ty) liên quan đến chính sách thuế thu nhập doanh nghiệp (TNDN) đối với doanh nghiệp có hoạt động trường mẫu giáo và sử dụng lao động nữ. Về vấn đề này, Cục Thuế có ý kiến như sau:</w:t>
      </w:r>
    </w:p>
    <w:p>
      <w:r>
        <w:t>- Tại khoản 4 Điều 3 Thông tư số 25/2018/TT-BTC ngày 16/3/2018 của Bộ Tài chính quy định về chi phí được trừ như sau:</w:t>
      </w:r>
    </w:p>
    <w:p>
      <w:r>
        <w:t>“- Khoản chi có tính chất phúc lợi chi trực tiếp cho người lao động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của người lao động có thành tích tốt trong học tập; chi hỗ trợ chi phí đi lại ngày lễ, tết cho người lao động; chi bảo hiểm tai nạn, bảo hiểm sức khỏe, bảo hiểm tự nguyện khác cho người lao động (trừ Khoản chi mua bảo hiểm nhân thọ cho người lao động, bảo hiểm hưu trí tự nguyện cho người lao động hướng dẫn tại điểm 2.11 Điều này) và những Khoản chi có tính chất phúc lợi khác. Tổng số chi có tính chất phúc lợi nêu trên không quá 01 tháng lương bình quân thực tế thực hiện trong năm tính thuế của doanh nghiệp.”</w:t>
      </w:r>
    </w:p>
    <w:p>
      <w:r>
        <w:t>- Tại Điều 4 Thông tư số 96/2015/TT-BTC ngày 22/6/2015 của Bộ Tài chính quy định về các khoản chi không được trừ khi xác định thu nhập chịu thuế như sau:</w:t>
      </w:r>
    </w:p>
    <w:p>
      <w:r>
        <w:t>“2.2. Chi khấu hao tài sản cố định thuộc một trong các trường hợp sau:</w:t>
      </w:r>
    </w:p>
    <w:p>
      <w:r>
        <w:t>a) Chi khấu hao đối với tài sản cố định không sử dụng cho hoạt động sản xuất, kinh doanh hàng hóa, dịch vụ.</w:t>
      </w:r>
    </w:p>
    <w:p>
      <w:r>
        <w:t>Riêng tài sản cố định phục vụ cho người lao động làm việc tại doanh nghiệp như: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lắp đặt trong các công trình nêu trên; bể chứa nước sạch, nhà để xe; xe đưa đón người lao động, nhà ở trực tiếp cho người lao động; chi phí xây dựng cơ sở vật chất, chi phí mua sắm máy, thiết bị là tài sản cố định dùng để tổ chức hoạt động giáo dục nghề nghiệp được trích khấu hao tính vào chi phí được trừ khi xác định thu nhập chịu thuế.</w:t>
      </w:r>
    </w:p>
    <w:p>
      <w:r>
        <w:t>b) Chi khấu hao đối với tài sản cố định không có giấy tờ chứng minh thuộc quyền sở hữu của doanh nghiệp (trừ tài sản cố định thuê mua tài chính).</w:t>
      </w:r>
    </w:p>
    <w:p>
      <w:r>
        <w:t>…</w:t>
      </w:r>
    </w:p>
    <w:p>
      <w:r>
        <w:t>2.10. Các khoản chi được trừ sau đây nhưng nếu chi không đúng đối tượng, không đúng mục đích hoặc mức chi vượt quá quy định.</w:t>
      </w:r>
    </w:p>
    <w:p>
      <w:r>
        <w:t>a) Các khoản chi thêm cho lao động nữ được tính vào chi phí được ….. bao gồm:</w:t>
      </w:r>
    </w:p>
    <w:p>
      <w:r>
        <w:t>- Chi cho công tác đào tạo lại nghề cho lao động nữ trong trường …… nghề cũ không còn phù hợp phải chuyển đổi sang nghề khác theo quy hoạch phát triển của doanh nghiệp.</w:t>
      </w:r>
    </w:p>
    <w:p>
      <w:r>
        <w:t>Khoản chi này bao gồm: học phí (nếu có) + chênh lệch tiền lương …… bậc (đảm bảo 100% lương cho người đi học).</w:t>
      </w:r>
    </w:p>
    <w:p>
      <w:r>
        <w:t>- Chi phí tiền lương và phụ cấp (nếu có) cho giáo viên dạy ở nhà trẻ, mẫu giáo do doanh nghiệp tổ chức và quản lý.</w:t>
      </w:r>
    </w:p>
    <w:p>
      <w:r>
        <w:t>…”</w:t>
      </w:r>
    </w:p>
    <w:p>
      <w:r>
        <w:t>- Tại khoản 1 Điều 21 Thông tư số 78/2014/TT-BTC ngày 18/6/2014 của Bộ Tài chính quy định:</w:t>
      </w:r>
    </w:p>
    <w:p>
      <w:r>
        <w:t>“Điều 21. Các trường hợp giảm thuế khác</w:t>
      </w:r>
    </w:p>
    <w:p>
      <w:r>
        <w:t>1. Doanh nghiệp hoạt động trong lĩnh vực sản xuất, xây dựng, vận tải sử dụng 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phải nộp tương ứng với số tiền thực chi thêm cho lao động nữ theo hướng dẫn tại tiết a điểm … Khoản 2 Điều 6 Thông tư này nếu hạch toán riêng được.</w:t>
      </w:r>
    </w:p>
    <w:p>
      <w:r>
        <w:t>Các đơn vị sự nghiệp, cơ quan văn phòng thuộc các Tổng công ty …… trực tiếp sản xuất kinh doanh thì không giảm thuế theo Khoản này.”</w:t>
      </w:r>
    </w:p>
    <w:p>
      <w:r>
        <w:t>Căn cứ các quy định nêu trên, về nguyên tắc, khoản chi có tính chất phúc lợi chi trực tiếp cho người lao động nếu thỏa mãn điều kiện theo quy định tại Điều 3 Thông tư số 25/2018/TT-BTC thì được tính vào chi phí được trừ khi xác định thu nhập chịu thuế TNDN.</w:t>
      </w:r>
    </w:p>
    <w:p>
      <w:r>
        <w:t>Đối với khoản chi khấu hao, duy tu sửa chữa Trường Mẫu giáo Đông Phương do Công ty TNHH Dona Pacific Việt Nam chi trả và khoản chi tiền lương, phụ cấp cho giáo viên mà Công ty TNHH Đông Phương Đồng Nai Việt Nam chi trả, phân bổ cho các công ty khác thuộc Tập đoàn Phong Thái trên cơ sở số lượng con của người lao động tại mỗi công ty đăng ký học tại Trường Mẫu giáo Đông Phương thì không có cơ sở để được tính vào chi phí được trừ khi xác định thu nhập chịu thuế TNDN của các công ty thành viên khác thuộc Tập đoàn Phong Thái. Trường hợp Công ty TNHH Đông Phương Đồng Nai Việt Nam chi trả khoản tiền lương, phụ cấp cho giáo viên nếu đáp ứng điều kiện theo quy định tại khoản 2.10 Điều 4 Thông tư số 96/2015/TT-BTC thì được tính vào chi phí được trừ khi xác định thu nhập chịu thuế TNDN.</w:t>
      </w:r>
    </w:p>
    <w:p>
      <w:r>
        <w:t>Các công ty con thuộc Tập đoàn Phong Thái không được giảm thuế tương ứng với số tiền lương và phụ cấp cho giáo viên của trường mẫu giáo mà Công ty TNHH Đông Phương Đồng Nai Việt Nam phân bổ cho từng công ty. Trường hợp Công ty TNHH Đông Phương Đồng Nai Việt Nam nếu có khoản chi tiền lương và phụ cấp cho giáo viên dạy ở trường mẫu giáo do Công ty tổ chức và quản lý thỏa mãn điều kiện theo quy định tại khoản 1 Điều 21 Thông tư số 78/2014/TT-BTC thì được tính giảm thuế theo quy định.</w:t>
      </w:r>
    </w:p>
    <w:p>
      <w:r>
        <w:t>Trường hợp Công ty TNHH Đông Phương Đồng Nai Việt Nam có phát sinh các giao dịch liên kết thì thực hiện theo quy định tại Nghị định số 132/2020/NĐ-CP ngày 05/11/2020 và Nghị định số 20/2025/NĐ-CP ngày 10/02/2025 của Chính phủ.</w:t>
      </w:r>
    </w:p>
    <w:p>
      <w:r>
        <w:t>Đề nghị Công ty TNHH Đông Phương Đồng Nai Việt Nam căn cứ quy định nêu trên và tình hình thực tế của doanh nghiệp để thực hiện đúng quy định pháp luật./.</w:t>
      </w:r>
    </w:p>
    <w:p>
      <w:r>
        <w:t>Nơi nhận:</w:t>
      </w:r>
    </w:p>
    <w:p>
      <w:r>
        <w:t>- Như trên;</w:t>
      </w:r>
    </w:p>
    <w:p>
      <w:r>
        <w:t>- PCTr. Đặng Ngọc Minh (để b/c);</w:t>
      </w:r>
    </w:p>
    <w:p>
      <w:r>
        <w:t>- Ban Pháp chế - CT;</w:t>
      </w:r>
    </w:p>
    <w:p>
      <w:r>
        <w:t>- Thuế tỉnh Đồng Nai;</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