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3577/CT-CS năm 2025 về chính sách giá trị gia tăng đầu vào của hàng hóa, dịch vụ phát sinh trong giai đoạn đầu tư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3577/CT-CS</w:t>
      </w:r>
    </w:p>
    <w:p>
      <w:r>
        <w:t>V/v chính sách giá trị gia tăng</w:t>
      </w:r>
    </w:p>
    <w:p>
      <w:r>
        <w:t>Hà Nội, ngày 04 tháng 9 năm 2025</w:t>
      </w:r>
    </w:p>
    <w:p>
      <w:r>
        <w:t>Kính gửi:  Thuế tỉnh Quảng Ninh.</w:t>
      </w:r>
    </w:p>
    <w:p>
      <w:r>
        <w:t>Cục Thuế nhận được công văn số 276/QNI-KTr ngày 24/7/2025 của Thuế tỉnh Quảng Ninh về chính sách thuế giá trị gia tăng (GTGT). Về vấn đề này,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GTGT;</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Điều 4 Nghị định số 15/2021/NĐ-CP ngày 03/3/2021 của Chính phủ (đã được sửa đổi, bổ sung tại Nghị định số 35/2023/NĐ-CP ngày 20/6/2023 của Chính phủ) quy định chi tiết một số nội dung về quản lý dự án đầu tư quy định về trình tự đầu tư xây dựng.</w:t>
      </w:r>
    </w:p>
    <w:p>
      <w:r>
        <w:t>Căn cứ các quy định trên, về nguyên tắc, trường hợp cơ sở kinh doanh có dự án đầu tư mới, đang trong giai đoạn đầu tư, có phát sinh vận hành, chạy thử, nếu thời gian vận hành, chạy thử là một tiêu chí hoặc công đoạn theo yêu cầu về tiêu chuẩn kỹ thuật được quy định theo pháp luật chuyên ngành và được thực hiện theo các quyền, nghĩa vụ cụ thể tại các văn bản thỏa thuận của các bên thì vận hành, chạy thử là công việc thuộc giai đoạn thực hiện dự án.</w:t>
      </w:r>
    </w:p>
    <w:p>
      <w:r>
        <w:t>Đề nghị Thuế tỉnh Quảng Ninh căn cứ các quy định trên và hồ sơ thực tế, xác định chính xác số thuế giá trị gia tăng đầu vào của hàng hóa, dịch vụ phát sinh trong giai đoạn đầu tư để xem xét, xử lý theo quy định và theo thẩm quyền.</w:t>
      </w:r>
    </w:p>
    <w:p>
      <w:r>
        <w:t>Cục Thuế có ý kiến để Thuế tỉnh Quảng Ninh được biết./.</w:t>
      </w:r>
    </w:p>
    <w:p>
      <w:r>
        <w:t>Nơi nhận:</w:t>
      </w:r>
    </w:p>
    <w:p>
      <w:r>
        <w:t>- Như trên;</w:t>
      </w:r>
    </w:p>
    <w:p>
      <w:r>
        <w:t>- Phó CTr Đặng Ngọc Minh (để b/c);</w:t>
      </w:r>
    </w:p>
    <w:p>
      <w:r>
        <w:t>- Ban PC, NVT;</w:t>
      </w:r>
    </w:p>
    <w:p>
      <w:r>
        <w:t>- Website CT;</w:t>
      </w:r>
    </w:p>
    <w:p>
      <w:r>
        <w:t>- Lưu:VT,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