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35356/CTHN-TTHT năm 2023 về thanh lý tài sản cố định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35356/CTHN-TTHT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35356/CTHN-TTHT</w:t>
      </w:r>
    </w:p>
    <w:p>
      <w:r>
        <w:t>V/v thanh lý TSCĐ</w:t>
      </w:r>
    </w:p>
    <w:p>
      <w:r>
        <w:t>Hà Nội, ngày 23 tháng 5 năm 2023</w:t>
      </w:r>
    </w:p>
    <w:p>
      <w:r>
        <w:t>Kính gửi:  Công ty TNHH Chứng khoán Nhật Bản</w:t>
      </w:r>
    </w:p>
    <w:p>
      <w:r>
        <w:t>Đ/c: Tầng 14, Tòa nhà TNR Tower, 54A Nguyễn Chí Thanh, P. Láng Thượng, Q. Đống Đa, TP. Hà Nội; MST: 0103248669</w:t>
      </w:r>
    </w:p>
    <w:p>
      <w:r>
        <w:t>Trả lời công văn số 23.038/JSI-CV ngày 05/05/2023 của Công ty TNHH Chứng khoán Nhật Bản (sau đây gọi là Công ty) về thanh lý TSCĐ, Cục Thuế TP Hà Nội có ý kiến như sau:</w:t>
      </w:r>
    </w:p>
    <w:p>
      <w:r>
        <w:t>- Căn cứ Khoản 4 Điều 9 Thông tư số 45/2013/TT-BTC ngày 25/4/2013 của Bộ Tài chính hướng dẫn nguyên tắc trích khấu hao TSCĐ:</w:t>
      </w:r>
    </w:p>
    <w:p>
      <w:r>
        <w:t>“4. TSCĐ chưa khấu hao hết bị mất,  bị   hư hỏng mà không thể sửa chữa , khắc phục được, doanh nghiệp xác định nguyên nhân, trách nhiệm bồi thường của tập thể, cá nhân gây ra.  Chênh   lệch   giữa   giá trị   còn   lại   của tài sản với tiền bồi thường của tổ chức, cá nhân gây ra, tiền bồi thường của cơ quan bảo hiểm và   giá trị   thu hồi được (nếu có), doanh   nghiệp dùng   Quỹ   dự phòng   tài chính để bù đắp. Trường   hợp     Quỹ dự phòng   tài chính không đủ bù đắp  ,   thì   phần   chênh   lệch   thiếu doanh   nghiệp   được tính vào chi phí   hợp lý   của doanh   nghiệp khi   xác   định   thuế thu   nhập   doanh   nghiệp  .</w:t>
      </w:r>
    </w:p>
    <w:p>
      <w:r>
        <w:t>…”</w:t>
      </w:r>
    </w:p>
    <w:p>
      <w:r>
        <w:t>- Căn cứ Điều 4 Thông tư số 96/2015/TT-BTC ngày 22/6/2015 của Bộ Tài chính hướng dẫn thi hành Luật Thuế TNDN sửa đổi, bổ sung Điều 6 Thông tư số 78/2014/TT-BTC (đã được sửa đổi, bổ sung tại Khoản 2 Điều 6 Thông tư số 119/2014/TT-BTC và Điều 1 Thông tư số 151/2014/TT-BTC), quy định các khoản chi không được trừ khi xác định thu nhập chịu thuế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...2.2.  Chi khấu hao tài sản cố   định  thuộc một trong các trường hợp sau:</w:t>
      </w:r>
    </w:p>
    <w:p>
      <w:r>
        <w:t>a)  Chi   khấu hao đối với tài sản cố   định   không sử   dụng   cho   hoạt động   sản xuất kinh doanh   hàng     hóa, dịch vụ  .</w:t>
      </w:r>
    </w:p>
    <w:p>
      <w:r>
        <w:t>...:</w:t>
      </w:r>
    </w:p>
    <w:p>
      <w:r>
        <w:t>Căn cứ các quy định trên, Cục Thuế TP Hà Nội có ý kiến như sau:</w:t>
      </w:r>
    </w:p>
    <w:p>
      <w:r>
        <w:t>Trường hợp Công ty phát sinh chi phí khấu hao tài sản cố định không sử dụng cho hoạt động sản xuất, kinh doanh hàng hóa, dịch vụ thì khoản chi này không được trừ khi xác định thu nhập chịu thuế TNDN theo quy định tại tiết a điểm 2.2 Khoản 2 Điều 4 Thông tư số 96/2015/TT-BTC của Bộ Tài chính.</w:t>
      </w:r>
    </w:p>
    <w:p>
      <w:r>
        <w:t>Trường hợp Công ty có tài sản cố định chưa khấu hao hết bị hư hỏng mà không thể sửa chữa thì thực hiện theo quy định tại Khoản 4 Điều 9 Thông tư số 45/2013/TT-BTC nêu trên.</w:t>
      </w:r>
    </w:p>
    <w:p>
      <w:r>
        <w:t>Đề nghị Công ty căn cứ vào tình hình thực tế, đối chiếu với các quy định pháp luật được trích dẫn nêu trên để thực hiện theo đúng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Chứng khoán Nhật Bản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