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3227/TCT-CS năm 2024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3227/TCT-CS</w:t>
      </w:r>
    </w:p>
    <w:p>
      <w:r>
        <w:t>V/v chính sách thuế</w:t>
      </w:r>
    </w:p>
    <w:p>
      <w:r>
        <w:t>Hà Nội, ngày 26 tháng 7 năm 2024</w:t>
      </w:r>
    </w:p>
    <w:p>
      <w:r>
        <w:t>Kính gửi:  Cục Thuế thành phố Hà Nội</w:t>
      </w:r>
    </w:p>
    <w:p>
      <w:r>
        <w:t>Tổng cục Thuế nhận được công văn số 23291/CTHN-TTHT ngày 23/4/2024 của Cục Thuế thành phố Hà Nội về chính sách thuế liên quan đến khoản lãi tiền gửi ngân hàng đối với Văn Phòng Đại Diện Winwave Corp (sau đây gọi tắt là Văn Phòng Đại Diện). Về vấn đề này, Tổng cục Thuế có ý kiến như sau:</w:t>
      </w:r>
    </w:p>
    <w:p>
      <w:r>
        <w:t>- Căn cứ Luật Thương mại số 36/2005/QH11 ngày 14/6/2005;</w:t>
      </w:r>
    </w:p>
    <w:p>
      <w:r>
        <w:t>- Căn cứ Điều 2, Điều 3 và Điều 11 Nghị định số 218/2013/NĐ-CP ngày 26/12/2013 của Chính phủ quy định chi tiết và hướng dẫn thi hành Luật Thuế thu nhập doanh nghiệp.</w:t>
      </w:r>
    </w:p>
    <w:p>
      <w:r>
        <w:t>Căn cứ các quy định nêu trên, Tổng cục Thuế thống nhất với đề xuất của Cục Thuế thành phố Hà Nội theo quan điểm 2 nêu tại công văn số 23291/CTHN-TTHT nêu trên, cụ thể: Trường hợp Văn Phòng Đại Diện phát sinh khoản thu nhập từ lãi tiền gửi thuộc khoản thu nhập chịu thuế TNDN thì thực hiện kê khai, nộp thuế TNDN theo hướng dẫn tại Điều 11 Nghị định số 218/2013/NĐ-CP ngày 26/12/2013 của Bộ Tài chính.</w:t>
      </w:r>
    </w:p>
    <w:p>
      <w:r>
        <w:t>Tổng cục Thuế thông báo để Cục Thuế thành phố Hà Nội biết và đề nghị Cục Thuế căn cứ các quy định tại các văn bản quy phạm pháp luật về thuế TNDN và tình hình thực tế của đơn vị để hướng dẫn Văn Phòng Đại Diện thực hiện đúng quy định./.</w:t>
      </w:r>
    </w:p>
    <w:p>
      <w:r>
        <w:t>Nơi nhận:</w:t>
      </w:r>
    </w:p>
    <w:p>
      <w:r>
        <w:t>- Như trên;</w:t>
      </w:r>
    </w:p>
    <w:p>
      <w:r>
        <w:t>- PTCTr Đặng Ngọc Minh (để báo cáo);</w:t>
      </w:r>
    </w:p>
    <w:p>
      <w:r>
        <w:t>- Các đơn vị: QLGS CST, PC-BTC;</w:t>
      </w:r>
    </w:p>
    <w:p>
      <w:r>
        <w:t>- Vụ PC - TCT;</w:t>
      </w:r>
    </w:p>
    <w:p>
      <w:r>
        <w:t>- Website TCT;</w:t>
      </w:r>
    </w:p>
    <w:p>
      <w:r>
        <w:t>- Lưu VT, CS.</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