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3225/CT-CS năm 2025 về văn bản hợp nhất Hiệp định thuế đa phương và Hiệp định thuế giữa Việt Nam - Áo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3225/CT-CS</w:t>
      </w:r>
    </w:p>
    <w:p>
      <w:r>
        <w:t>V/v văn bản hợp nhất Hiệp định thuế đa phương và Hiệp định thuế giữa Việt Nam - Áo.</w:t>
      </w:r>
    </w:p>
    <w:p>
      <w:r>
        <w:t>Hà Nội, ngày 15 tháng 8 năm 2025</w:t>
      </w:r>
    </w:p>
    <w:p>
      <w:r>
        <w:t>Kính gửi:</w:t>
      </w:r>
    </w:p>
    <w:p>
      <w:r>
        <w:t>- Thuế các tỉnh, thành phố;</w:t>
      </w:r>
    </w:p>
    <w:p>
      <w:r>
        <w:t>- Chi cục Thuế Thương mại điện tử;</w:t>
      </w:r>
    </w:p>
    <w:p>
      <w:r>
        <w:t>- Chi cục Thuế Doanh nghiệp lớn.</w:t>
      </w:r>
    </w:p>
    <w:p>
      <w:r>
        <w:t>Căn cứ Thông báo số 12/2023/TB-LPQT ngày 21/6/2023 của Bộ Ngoại giao thông báo Hiệp định đa phương thực hiện các biện pháp liên quan đến Hiệp định thuế về ngăn ngừa xói mòn cơ sở tính thuế và chuyển lợi nhuận (“Hiệp định thuế đa phương”), làm tại Pa-ri ngày 24/11/2016, đã được Việt Nam ký ngày 09/02/2022, có hiệu lực đối với Việt Nam từ ngày 01/9/2023. Áo ký Hiệp định thuế đa phương vào ngày 07/6/2017, Hiệp định thuế đa phương có hiệu lực đối với Áo từ ngày 01/7/2018;</w:t>
      </w:r>
    </w:p>
    <w:p>
      <w:r>
        <w:t>Căn cứ quy định tại Khoản 1, Điều 35 (Hiệu lực thi hành) của Hiệp định thuế đa phương, Hiệp định thuế đa phương có hiệu lực đối với Hiệp định tránh đánh thuế hai lần (“Hiệp định thuế”) giữa Việt Nam - Áo về các loại thuế phát sinh từ năm tài chính 2024 trở đi.</w:t>
      </w:r>
    </w:p>
    <w:p>
      <w:r>
        <w:t>Trên cơ sở rà soát nội dung Văn kiện Thông báo và Bảo lưu của Việt Nam và Áo đối với Hiệp định thuế đa phương; Hiệp định thuế song phương được hai nước ký ngày 02/6/2008 tại Viên, có hiệu lực từ ngày 01/01/2010; tham khảo hướng dẫn của OECD khi hợp nhất các Hiệp định thuế song phương theo Hiệp định thuế đa phương và ý kiến nhất trí của Vụ Luật thuế quốc tế (Bộ Tài chính Liên bang Áo), để thuận tiện cho việc áp dụng và tham chiếu, Cục Thuế gửi kèm công văn này văn bản hợp nhất của Hiệp định thuế đa phương và Hiệp định thuế giữa Việt Nam - Áo để Thuế tỉnh, thành phố, Chi cục Thuế Thương mại điện tử và Chi cục Thuế Doanh nghiệp lớn tham khảo.</w:t>
      </w:r>
    </w:p>
    <w:p>
      <w:r>
        <w:t>Trường hợp nội dung của văn bản hợp nhất dẫn đến cách hiểu, diễn giải khác thì áp dụng Hiệp định thuế đa phương và Hiệp định thuế giữa Việt Nam - Áo.</w:t>
      </w:r>
    </w:p>
    <w:p>
      <w:r>
        <w:t>Cục Thuế thông báo để Thuế các tỉnh, thành phố và Chi cục Thuế biết./.</w:t>
      </w:r>
    </w:p>
    <w:p>
      <w:r>
        <w:t>Nơi nhận:</w:t>
      </w:r>
    </w:p>
    <w:p>
      <w:r>
        <w:t>- Như trên;</w:t>
      </w:r>
    </w:p>
    <w:p>
      <w:r>
        <w:t>- Cục trưởng (để b/c);</w:t>
      </w:r>
    </w:p>
    <w:p>
      <w:r>
        <w:t>- Phó CTr Đặng Ngọc Minh (để b/c);</w:t>
      </w:r>
    </w:p>
    <w:p>
      <w:r>
        <w:t>- Các Vụ: PC, CST, QLN (BTC);</w:t>
      </w:r>
    </w:p>
    <w:p>
      <w:r>
        <w:t>- Các Ban, đơn vị thuộc CT;</w:t>
      </w:r>
    </w:p>
    <w:p>
      <w:r>
        <w:t>- Website Cục Thuế;</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