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3147/CT-CS năm 2025 về Chính sách thu tiền sử dụng đất,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3147/CT-CS</w:t>
      </w:r>
    </w:p>
    <w:p>
      <w:r>
        <w:t>V/v Chính sách về thu tiền sử dụng đất, tiền thuê đất.</w:t>
      </w:r>
    </w:p>
    <w:p>
      <w:r>
        <w:t>Hà Nội, ngày 13 tháng 8 năm 2025</w:t>
      </w:r>
    </w:p>
    <w:p>
      <w:r>
        <w:t>Kính gửi:  Thuế thành phố Đà Nẵng.</w:t>
      </w:r>
    </w:p>
    <w:p>
      <w:r>
        <w:t>Cục Thuế nhận được công văn số 4196/CCTKV.XII-CNTK-QNA ngày 18/6/2025 của Chi cục Thuế Khu vực XII - địa bàn Quảng Nam (nay thuộc Thuế thành phố Đà Nẵng) vướng mắc về việc xác định đơn giá thuê đất để quy đổi thời gian hoàn thành nghĩa vụ tiền thuê đất của Công ty TNHH Indochina Resort (sau đây gọi là Công ty). Về vấn đề này, Cục Thuế có ý kiến như sau:</w:t>
      </w:r>
    </w:p>
    <w:p>
      <w:r>
        <w:t>- Căn cứ khoản 8 Điều 3 Nghị định số 135/2016/NĐ-CP ngày 09/9/2016 của Chính phủ sửa đổi, bổ sung khoản 11 Điều 31 Nghị định số 46/2014/NĐ-CP ngày 15/5/2014 của Chính phủ quy định về điều khoản chuyển tiếp.</w:t>
      </w:r>
    </w:p>
    <w:p>
      <w:r>
        <w:t>- Căn cứ Điều 4 Nghị định số 46/2014/NĐ-CP nêu trên quy định về đơn giá thuê đất.</w:t>
      </w:r>
    </w:p>
    <w:p>
      <w:r>
        <w:t>- Căn cứ Điều 12 Nghị định số 46/2014/NĐ-CP quy định về xác định tiền thuê đất, thuê mặt nước.</w:t>
      </w:r>
    </w:p>
    <w:p>
      <w:r>
        <w:t>- Căn cứ khoản 1 Điều 23 Nghị định số 46/2014/NĐ-CP quy định về xác định tiền thuê đất, thuê mặt nước phải nộp trong trường hợp được miễn, giảm tiền thuê đất, thuê mặt nước đối với trường hợp trả tiền thuê đất hàng năm.</w:t>
      </w:r>
    </w:p>
    <w:p>
      <w:r>
        <w:t>Đề nghị Thuế thành phố Đà Nẵng căn cứ hồ sơ cụ thể của Công ty và quy định của pháp luật về đất đai từng thời kỳ để thực hiện theo đúng quy định.</w:t>
      </w:r>
    </w:p>
    <w:p>
      <w:r>
        <w:t>Cục Thuế trả lời để Thuế thành phố Đà Nẵng biết và thực hiện./.</w:t>
      </w:r>
    </w:p>
    <w:p>
      <w:r>
        <w:t>Nơi nhận:</w:t>
      </w:r>
    </w:p>
    <w:p>
      <w:r>
        <w:t>- Như trên;</w:t>
      </w:r>
    </w:p>
    <w:p>
      <w:r>
        <w:t>- PCT Đặng Ngọc Minh (để b/c);</w:t>
      </w:r>
    </w:p>
    <w:p>
      <w:r>
        <w:t>- Cục QLCS (BTC);</w:t>
      </w:r>
    </w:p>
    <w:p>
      <w:r>
        <w:t>- Ban PC (CT);</w:t>
      </w:r>
    </w:p>
    <w:p>
      <w:r>
        <w:t>- Website (CT);</w:t>
      </w:r>
    </w:p>
    <w:p>
      <w:r>
        <w:t>- Lưu: VT, CS(2b).</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