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3088/TCT-CS</w:t>
      </w:r>
    </w:p>
    <w:p>
      <w:r>
        <w:t>V/v chính sách thuế</w:t>
      </w:r>
    </w:p>
    <w:p>
      <w:r>
        <w:t>Hà Nội, ngày 24 tháng 7 năm 2023</w:t>
      </w:r>
    </w:p>
    <w:p>
      <w:r>
        <w:t>Kính gửi:</w:t>
      </w:r>
    </w:p>
    <w:p>
      <w:r>
        <w:t>- Công ty CP sản xuất và xuất nhập khẩu lâm sản Naforimex Hà Nội.</w:t>
      </w:r>
    </w:p>
    <w:p>
      <w:r>
        <w:t>(Địa chỉ: 40 phố Hai Bà Trưng, phường Tràng Tiền, Quận Hoàn Kiếm, HN)</w:t>
      </w:r>
    </w:p>
    <w:p>
      <w:r>
        <w:t>- Cục Thuế thành phố Hải Phòng.</w:t>
      </w:r>
    </w:p>
    <w:p>
      <w:r>
        <w:t>Tổng cục Thuế nhận được văn bản số 43/CV-KTTC và văn bản số 35/CV-KTTC của Công ty CP SX&amp;XNK lâm sản Naforimex Hà Nội về chính sách thuế. Về vấn đề này, Tổng cục Thuế có ý kiến như sau:</w:t>
      </w:r>
    </w:p>
    <w:p>
      <w:r>
        <w:t>Căn cứ điểm g khoản 1 Điều 2, Điều 11 Nghị định số 46/2014/NĐ-CP ngày 15/05/2014 của Chính phủ quy định về đối tượng thu tiền thuê đất, thuê mặt nước và cơ quan xác định đơn giá thuê đất trả tiền thuê đất hàng năm, đơn giá thuê đất trả tiền thuê đất một lần cho cả thời gian thuê;</w:t>
      </w:r>
    </w:p>
    <w:p>
      <w:r>
        <w:t>Căn cứ điểm b, khoản 2 Điều 2 Nghị định số 53/2011/NĐ-CP ngày 01/07/2011 của Chính phủ quy định đối tượng chịu thuế sử dụng đất phi nông nghiệp;</w:t>
      </w:r>
    </w:p>
    <w:p>
      <w:r>
        <w:t>Căn cứ điểm 3.6 Điều 3 Thông tư số 153/2011/TT-BTC ngày 11/11/2011 của Bộ Tài chính quy định người nộp thuế sử dụng đất phi nông nghiệp;</w:t>
      </w:r>
    </w:p>
    <w:p>
      <w:r>
        <w:t>Căn cứ khoản 6 Điều 7,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về giá tính thuế và thuế suất 10%.</w:t>
      </w:r>
    </w:p>
    <w:p>
      <w:r>
        <w:t>Căn cứ quy định nêu trên, về nguyên tắc, tổ chức, cá nhân được Nhà nước giao đất là đối tượng nộp tiền thuê đất và người sử dụng đất là người nộp thuế sử dụng đất phi nông nghiệp theo quy định của pháp luật. Giá cho thuê nhà do hai bên thỏa thuận được xác định theo Hợp đồng; trường hợp Ủy ban nhân dân TP. Hải Phòng có quy định giá cho thuê nhà thuộc sở hữu Nhà nước thì thực hiện theo quy định của Ủy ban nhân dân TP. Hải Phòng. Thuế GTGT được xác định theo giá cho thuê chưa có thuế GTGT x thuế suất thuế GTGT (10%).</w:t>
      </w:r>
    </w:p>
    <w:p>
      <w:r>
        <w:t>Trường hợp Chi nhánh Công ty CP sản xuất và xuất nhập khẩu lâm sản Naforimex Hà Nội tại Hải Phòng ký hợp đồng với Công ty TNHH MTV quản lý và kinh doanh nhà Hải Phòng để thuê nhà thuộc sở hữu Nhà nước làm văn phòng thì đề nghị Cục Thuế thành phố Hải Phòng phối hợp với các đơn vị có liên quan xác định rõ đối tượng có nghĩa vụ nộp tiền thuê đất trong Hợp đồng thuê nhà thuộc sở hữu Nhà nước nêu trên để xử lý theo đúng quy định.</w:t>
      </w:r>
    </w:p>
    <w:p>
      <w:r>
        <w:t>Tổng cục Thuế có ý kiến để Công ty CP sản xuất và xuất nhập khẩu lâm sản Naforimex Hà Nội và Cục Thuế thành phố Hải Phòng được biết./.</w:t>
      </w:r>
    </w:p>
    <w:p>
      <w:r>
        <w:t>Nơi nhận:</w:t>
      </w:r>
    </w:p>
    <w:p>
      <w:r>
        <w:t>- Như trên;</w:t>
      </w:r>
    </w:p>
    <w:p>
      <w:r>
        <w:t>- Phó TCTr. Đặng Ngọc Minh (để b/c);</w:t>
      </w:r>
    </w:p>
    <w:p>
      <w:r>
        <w:t>- Vụ CST, Vụ PC, Cục QLCS;</w:t>
      </w:r>
    </w:p>
    <w:p>
      <w:r>
        <w:t>- Vụ PC Vụ KK;</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