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2901/TCT-CS</w:t>
      </w:r>
    </w:p>
    <w:p>
      <w:r>
        <w:t>V/v: chính sách thuế.</w:t>
      </w:r>
    </w:p>
    <w:p>
      <w:r>
        <w:t>Hà Nội, ngày 12 tháng 7 năm 2023</w:t>
      </w:r>
    </w:p>
    <w:p>
      <w:r>
        <w:t>Kính gửi:  Cục Thuế Thành phố Hồ Chí Minh.</w:t>
      </w:r>
    </w:p>
    <w:p>
      <w:r>
        <w:t>Tổng cục Thuế nhận được Tờ trình số 23/TTr-CTTPHCM ngày 12/5/2023, Tờ trình số 61/TTr-CTTPHCM ngày 20/10/2022 của Cục thuế TP Hồ Chí Minh về chính sách thuế GTGT. Về vấn đề này, Tổng cục Thuế có ý kiến như sau:</w:t>
      </w:r>
    </w:p>
    <w:p>
      <w:r>
        <w:t>Căn cứ quy định tại Điều 3, Điều 5 Luật Thuế giá trị gia tăng quy định về đối tượng chịu thuế và đối tượng không chịu thuế;</w:t>
      </w:r>
    </w:p>
    <w:p>
      <w:r>
        <w:t>Căn cứ khoản 4 Điều 13 Luật thuế giá trị gia tăng quy định các trường hợp hoàn thuế;</w:t>
      </w:r>
    </w:p>
    <w:p>
      <w:r>
        <w:t>Căn cứ Nghị định số 123/2020/NĐ-CP ngày 19/10/2020 của Chính phủ quy định về hóa đơn, chứng từ.</w:t>
      </w:r>
    </w:p>
    <w:p>
      <w:r>
        <w:t>Tại Điều 2 Luật ký kết, gia nhập và thực hiện điều ước quốc tế quy định:  “Điều ước quốc tế mà Cộng hòa xã hội chủ nghĩa Việt Nam ký kết hoặc gia nhập là thỏa thuận bằng văn bản được ký kết hoặc gia nhập nhân danh Nhà nước hoặc nhân danh Chính phủ nước Cộng hòa xã hội chủ nghĩa Việt Nam với một hoặc nhiều quốc gia, tổ chức quốc tế hoặc chủ thể khác của pháp luật quốc tế, không phụ thuộc vào tên gọi là hiệp ước, công ước, hiệp định, thỏa ước, thỏa thuận, nghị định thư, bản ghi nhớ, công hàm trao đổi hoặc văn kiện có tên gọi khác.”</w:t>
      </w:r>
    </w:p>
    <w:p>
      <w:r>
        <w:t>Căn cứ điều 56 Hiến chương thành lập Ngân hàng phát triển Châu Á (ADB);</w:t>
      </w:r>
    </w:p>
    <w:p>
      <w:r>
        <w:t>Căn cứ mục 14 Điều VIII Hiệp định giữa Chính phủ nước Cộng hòa xã hội chủ nghĩa Việt Nam và Ngân hàng Phát triển Châu Á về việc thành lập cơ quan đại diện thường trú của ADB tại Việt Nam  (Hiệp định thành lập cơ quan đại diện ADB)  quy định về tài sản của Ngân hàng và thuế;</w:t>
      </w:r>
    </w:p>
    <w:p>
      <w:r>
        <w:t>Tại điểm 1 Thông báo số 289/TB-VPCP ngày 28/10/2021 của Văn phòng Chính phủ về kết luận của Phó Thủ tướng Lê Minh Khái tại cuộc họp về vướng mắc trong việc thực hiện xác nhận tại Thông báo miễn giảm thuế theo Điều ước quốc tế (ADB, IFC), Phó Thủ tướng Chính phủ Lê Minh Khái kết luận:</w:t>
      </w:r>
    </w:p>
    <w:p>
      <w:r>
        <w:t>“1. Việc thực hiện ưu đãi miễn thuế giảm thuế đối với Ngân hàng phát triển Châu Á-ADB và Công ty Tài chính quốc tế -IFC cần căn cứ vào các cam kết, thỏa thuận tại các văn bản mà Việt Nam đã tham gia hoặc ký kết. Do vậy, đề nghị các cơ quan nghiên cứu, rà soát lại các căn cứ pháp lý thực hiện các ưu đãi, miễn, giảm thuế cho ADB, IFC, bao gồm cả các văn bản Hiệp định thành lập ADB, Joint Ministerial Circular và các tài liệu liên quan. Trường hợp phát sinh vướng mắc pháp lý, cần để xuất giải pháp xử lý cụ thể, báo cáo các cấp thẩm quyền”.</w:t>
      </w:r>
    </w:p>
    <w:p>
      <w:r>
        <w:t>Căn cứ các quy định nêu trên, theo quy định tại Luật thuế GTGT và các văn bản hướng dẫn thi hành không quy định về miễn thuế GTGT, chỉ quy định đối tượng không chịu thuế GTGT.</w:t>
      </w:r>
    </w:p>
    <w:p>
      <w:r>
        <w:t>Trường hợp Công ty TNHH Nghiên cứu Đông Dương, Công ty TNHH CBRE Việt Nam (Công ty) cung cấp dịch vụ cho Ngân hàng phát triển Châu Á (ADB) thì Công ty phải lập hóa đơn theo đúng quy định.</w:t>
      </w:r>
    </w:p>
    <w:p>
      <w:r>
        <w:t>Về việc miễn giảm thuế cho IFC và ADB theo điều ước quốc tế trước hết cần đảm bảo Hiệp định thành lập ADB được công nhận là điều ước quốc tế theo quy định pháp luật của Việt Nam. Trên cơ sở đó mới có đủ căn cứ pháp lý để tiến hành các thủ tục miễn giảm thuế theo điều ước quốc tế đối với ADB.</w:t>
      </w:r>
    </w:p>
    <w:p>
      <w:r>
        <w:t>Về việc xác định Hiệp định thành lập cơ quan đại diện ADB có phải là điều ước quốc tế hay không, hiện nay Ngân hàng Nhà nước đã phối hợp với các Bộ liên quan rà soát căn cứ pháp lý thực hiện các ưu đãi miễn giảm thuế cho ADB/IFC và sẽ có báo cáo Lãnh đạo Chính phủ.</w:t>
      </w:r>
    </w:p>
    <w:p>
      <w:r>
        <w:t>Tổng cục Thuế có ý kiến để Cục Thuế TP Hồ Chí Minh được biết, căn cứ quy định tại pháp luật thuế GTGT, các văn bản quy phạm pháp luật có liên quan và hồ sơ, tài liệu, tình hình thực tế của các đơn vị để hướng dẫn các đơn vị thực hiện./.</w:t>
      </w:r>
    </w:p>
    <w:p>
      <w:r>
        <w:t>Nơi nhận:</w:t>
      </w:r>
    </w:p>
    <w:p>
      <w:r>
        <w:t>- Như trên;</w:t>
      </w:r>
    </w:p>
    <w:p>
      <w:r>
        <w:t>- Phó TCTr Đặng Ngọc Minh  (để báo cáo);</w:t>
      </w:r>
    </w:p>
    <w:p>
      <w:r>
        <w:t>- Cục QLN&amp;TCDN;</w:t>
      </w:r>
    </w:p>
    <w:p>
      <w:r>
        <w:t>- Vụ PC, CST-BTC;</w:t>
      </w:r>
    </w:p>
    <w:p>
      <w:r>
        <w:t>- Vụ PC, KK&amp;KTT, HTQT;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