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2887/TCT-DNNCN năm 2024 chính sách thuế thu nhập cá nhân đối với người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2887/TCT-DNNCN</w:t>
      </w:r>
    </w:p>
    <w:p>
      <w:r>
        <w:t>V/v Chính sách thuế TNCN đối với cá nhân nước ngoài</w:t>
      </w:r>
    </w:p>
    <w:p>
      <w:r>
        <w:t>Hà Nội, ngày 05 tháng 7 năm 2024.</w:t>
      </w:r>
    </w:p>
    <w:p>
      <w:r>
        <w:t>Kính gửi:  Cục Thuế Thành phố Hồ Chí Minh</w:t>
      </w:r>
    </w:p>
    <w:p>
      <w:r>
        <w:t>Về chính sách thuế TNCN đối với khoản chi tiền lưu trú Văn phòng bán vé hãng hàng không Asiana Airline tại TP. Hồ Chí Minh cho tổ bay của hãng hàng không nước ngoài, Tổng cục Thuế có ý kiến như sau:</w:t>
      </w:r>
    </w:p>
    <w:p>
      <w:r>
        <w:t>- Khoản 2, Điều 2 Thông tư số 111/2013/TT-BTC ngày 15/8/2013 của Bộ Tài chính quy định:</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...2. Thu nhập chịu thuế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w:t>
      </w:r>
    </w:p>
    <w:p>
      <w:r>
        <w:t>...đ) Các khoản lợi ích bằng tiền hoặc không bằng tiền ngoài tiền lương, tiền công do người sử dụng lao động trả mà người nộp thuế được hưởng dưới mọi hình thức:</w:t>
      </w:r>
    </w:p>
    <w:p>
      <w:r>
        <w:t>đ.4) Phần khoán chi văn phòng phẩm, công tác phí, điện thoại, trang phục,... cao hơn mức quy định hiện hành của Nhà nước. Mức khoán chi không tính vào thu nhập chịu thuế đối với một số trường hợp như sau:</w:t>
      </w:r>
    </w:p>
    <w:p>
      <w: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r>
        <w:t>- Khoản 2, Điều 2 Thông tư số 111/2013/TT-BTC ngày 15/8/2013 (sửa đổi bởi Khoản 4 Điều 11 Thông tư 92/2015/TT-BTC ngày 15/6/2015) của Bộ Tài chính quy định:</w:t>
      </w:r>
    </w:p>
    <w:p>
      <w:r>
        <w:t>“Điều 2. Các khoản thu nhập chịu thuế</w:t>
      </w:r>
    </w:p>
    <w:p>
      <w:r>
        <w:t>...2. Thu nhập chịu thuế từ tiền lương, tiền công</w:t>
      </w:r>
    </w:p>
    <w:p>
      <w:r>
        <w:t>Thu nhập từ tiền lương, tiền công là thu nhập người lao động nhận được từ người sử dụng lao động, bao gồm:</w:t>
      </w:r>
    </w:p>
    <w:p>
      <w:r>
        <w:t>...đ) Các khoản lợi ích bằng tiền hoặc không bằng tiền ngoài tiền lương, tiền công do người sử dụng lao động trả mà người nộp thuế được hưởng dưới mọi hình thức:</w:t>
      </w:r>
    </w:p>
    <w:p>
      <w:r>
        <w:t>...đ.5) Đối với khoản chi về phương tiện phục vụ đưa đón người lao động từ nơi ở đến nơi làm việc và ngược lại thì không tính vào thu nhập chịu thuế của người lao động theo quy chế của đơn vị.”</w:t>
      </w:r>
    </w:p>
    <w:p>
      <w:r>
        <w:t>- Khoản 2.5, Điều 6 Thông tư số 78/2014/TT-BTC ngày 18/6/2014 (sửa đổi bởi Khoản 2 Điều 3 Thông tư 25/2018/TT-BTC ngày 16/03/2018) quy định:</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2. Các khoản chi không được trừ khi xác định thu nhập chịu thuế bao gồm:</w:t>
      </w:r>
    </w:p>
    <w:p>
      <w:r>
        <w:t>...2.5. Chi tiền lương, tiền công, tiền thưởng cho người lao động thuộc một trong các trường hợp sau:</w:t>
      </w:r>
    </w:p>
    <w:p>
      <w:r>
        <w:t>...b) Các Khoản tiền lương, tiền thưởng cho người lao động không được ghi cụ thể Điều kiện được hưởng và mức được hưởng tại một trong các hồ sơ sau: Hợp đồng lao động; Thoả ước lao động tập thể; Quy chế tài chính của Công ty, Tổng công ty, Tập đoàn; Quy chế thưởng do Chủ tịch Hội đồng quản trị, Tổng giám đốc, Giám đốc quy định theo quy chế tài chính của Công ty, Tổng công ty...”</w:t>
      </w:r>
    </w:p>
    <w:p>
      <w:r>
        <w:t>- Điều 4, Thông tư số 96/2015/TT-BTC ngày 22/6/2015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...2. Các khoản chi không được trừ khi xác định thu nhập chịu thuế bao gồm:</w:t>
      </w:r>
    </w:p>
    <w:p>
      <w:r>
        <w:t>...2.9 Chi phụ cấp tàu xe đi nghỉ phép không đúng theo quy định của Bộ Luật Lao động.</w:t>
      </w:r>
    </w:p>
    <w:p>
      <w:r>
        <w:t>Chi phụ cấp cho người lao động đi công tác, chi phí đi lại và tiền thuê chỗ ở cho người lao động đi công tác nếu có đầy đủ hóa đơn, chứng từ được tính vào chi phí được trừ khi xác định thu nhập chịu thuế. Trường hợp doanh nghiệp có khoán tiền đi lại, tiền ở, phụ cấp cho người lao động đi công tác và thực hiện đúng theo quy chế tài chính hoặc quy chế nội bộ của doanh nghiệp thì được tính vào chi phí được trừ khoản chi khoán tiền đi lại, tiền ở, tiền phụ cấp...”</w:t>
      </w:r>
    </w:p>
    <w:p>
      <w:r>
        <w:t>- Điều 9, Luật thuế TNCN số 04/2007/QH12 ngày 21/11/2007 quy định:</w:t>
      </w:r>
    </w:p>
    <w:p>
      <w:r>
        <w:t>“Điều 9. Áp dụng điều ước quốc tế</w:t>
      </w:r>
    </w:p>
    <w:p>
      <w: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r>
        <w:t>- Khoản 3 Điều 15, Hiệp định tránh đánh thuế hai lần và ngăn ngừa về trốn lậu thuế đối với thuế đánh vào thu nhập giữa Việt Nam và Hàn Quốc ngày 20/05/1994 quy định:</w:t>
      </w:r>
    </w:p>
    <w:p>
      <w:r>
        <w:t>“Điều 15. Hoạt động dịch vụ cá nhân phụ thuộc:</w:t>
      </w:r>
    </w:p>
    <w:p>
      <w:r>
        <w:t>... 3. Mặc dù có những quy định trên của Điều này, tiền công từ lao động làm trên tàu thủy hoặc máy bay do một xí nghiệp của một Nước ký kết điều hành trong vận tải quốc tế sẽ chỉ bị đánh thuế tại Nước đó.”</w:t>
      </w:r>
    </w:p>
    <w:p>
      <w:r>
        <w:t>Căn cứ các quy định nêu trên, trường hợp Văn phòng bán vé hãng hàng không Asiana Airline tại TP. Hồ Chí Minh chi trả khoản tiền lưu trú (bao gồm cả dịch vụ vận chuyển đưa đón Tổ bay từ sân bay Tân Sơn Nhất về nơi lưu trú và ngược lại) cho các thành viên tổ bay khi nhập cảnh, lưu trú tại Việt Nam thì về nguyên tắc, nếu các khoản chi này là chi phí được trừ khi xác định thu nhập chịu thuế TNDN theo đúng quy định tại Luật thuế TNDN và các văn bản hướng dẫn thì các khoản chi này không tính vào thu nhập chịu thuế TNCN. Trường hợp các khoản chi cho các thành viên tổ bay cao hơn mức khoán chi thì phần chi cao hơn mức khoán chi quy định phải tính vào thu nhập chịu thuế TNCN.</w:t>
      </w:r>
    </w:p>
    <w:p>
      <w:r>
        <w:t>Do không có hồ sơ cụ thể kèm theo vì vậy Tổng cục Thuế đề nghị Cục Thuế nghiên cứu các quy định nêu trên để hướng dẫn đơn vị thực hiện.</w:t>
      </w:r>
    </w:p>
    <w:p>
      <w:r>
        <w:t>Trường hợp NNT thuộc đối tượng được đề nghị miễn thuế, giảm thuế theo Hiệp định tránh đánh thuế hai lần thì Cục thuế căn cứ Điều 15 của Hiệp định tránh đánh thuế hai lần và ngăn ngừa về trốn lậu thuế đối với thuế đánh vào thu nhập giữa Việt Nam và Hàn Quốc ngày 20/05/1994 để xác định nghĩa vụ thuế theo Hiệp định.</w:t>
      </w:r>
    </w:p>
    <w:p>
      <w:r>
        <w:t>Tổng Cục Thuế thông báo để Cục Thuế Thành phố Hồ Chí Minh được biết./.</w:t>
      </w:r>
    </w:p>
    <w:p>
      <w:r>
        <w:t>Nơi nhận:</w:t>
      </w:r>
    </w:p>
    <w:p>
      <w:r>
        <w:t>- Như trên;</w:t>
      </w:r>
    </w:p>
    <w:p>
      <w:r>
        <w:t>- Phó TCTr Mai Sơn (để b/c);</w:t>
      </w:r>
    </w:p>
    <w:p>
      <w:r>
        <w:t>- Vụ PC, CS, HTQT (TCT);</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