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2639/CT-CS năm 2025 về chính sách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2639/CT-CS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23/07/2025</w:t>
            </w:r>
          </w:p>
        </w:tc>
      </w:tr>
      <w:tr>
        <w:tc>
          <w:tcPr>
            <w:tcW w:type="dxa" w:w="4320"/>
          </w:tcPr>
          <w:p>
            <w:r>
              <w:t>Ngày hiệu lực</w:t>
            </w:r>
          </w:p>
        </w:tc>
        <w:tc>
          <w:tcPr>
            <w:tcW w:type="dxa" w:w="4320"/>
          </w:tcPr>
          <w:p>
            <w:r>
              <w:t>23/07/2025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2639/CT-CS</w:t>
      </w:r>
    </w:p>
    <w:p>
      <w:r>
        <w:t>V/v: chính sách thuế GTGT.</w:t>
      </w:r>
    </w:p>
    <w:p>
      <w:r>
        <w:t>Hà Nội, ngày 23 tháng 7 năm 2025</w:t>
      </w:r>
    </w:p>
    <w:p>
      <w:r>
        <w:t>Kính gửi:  Thuế thành phố Hồ Chí Minh.</w:t>
      </w:r>
    </w:p>
    <w:p>
      <w:r>
        <w:t>Cục Thuế nhận được công văn số 241/CCTKV.XVI-TTKT2 ngày 28/04/2025 và công văn số 425/CCTKV.XVI-TTKT2 ngày 22/05/2025 của Chi cục Thuế khu vực XVI (nay là Thuế thành phố Hồ Chí Minh) về chính sách thuế GTGT. Về vấn đề này, Cục Thuế có ý kiến như sau:</w:t>
      </w:r>
    </w:p>
    <w:p>
      <w:r>
        <w:t>Căn cứ khoản 3 Điều 1 Luật số 106/2016/QH13 ngày 06/4/2016 sửa đổi, bổ sung khoản 1 và khoản 2 Điều 13 Luật thuế giá trị gia tăng số 13/2008/QH12 (đã được sửa đổi, bổ sung một số điều theo Luật số 31/2013/QH13) quy định về hoàn thuế giá trị gia tăng;</w:t>
      </w:r>
    </w:p>
    <w:p>
      <w:r>
        <w:t>Căn cứ khoản 2 Điều 1 Nghị định số 146/2017/NĐ-CP ngày 15/12/2017 sửa đổi, bổ sung khoản 3 Điều 10 Nghị định số 209/2013/NĐ-CP (đã được sửa đổi, bổ sung tại Nghị định số 100/2016/NĐ-CP) quy định về hoàn thuế giá trị gia tăng đối với hàng hóa, dịch vụ xuất khẩu;</w:t>
      </w:r>
    </w:p>
    <w:p>
      <w:r>
        <w:t>Căn cứ Điều 2 Thông tư số 25/2018/TT-BTC ngày 16/3/2018 của Bộ Tài chính sửa đổi, bổ sung Khoản 4 Điều 18 Thông tư số 219/2013/TT-BTC ngày 31/12/2013 của Bộ Tài chính (đã được sửa đổi, bổ sung theo Thông tư số 130/2016/TT-BTC ngày 12/8/2016 của Bộ Tài chính) hướng dẫn về hoàn thuế giá trị gia tăng đối với hàng hóa, dịch vụ xuất khẩu.</w:t>
      </w:r>
    </w:p>
    <w:p>
      <w:r>
        <w:t>Căn cứ điểm b khoản 5 Điều 12 Thông tư số 219/2013/TT-BTC ngày 31/12/2013 của Bộ Tài chính hướng dẫn xác định số thuế giá trị gia tăng phải nộp;</w:t>
      </w:r>
    </w:p>
    <w:p>
      <w:r>
        <w:t>Căn cứ Điều 14 Thông tư số 219/2013/TT-BTC ngày 31/12/2013 của Bộ Tài chính hướng dẫn nguyên tắc khấu trừ thuế giá trị gia tăng đầu vào;</w:t>
      </w:r>
    </w:p>
    <w:p>
      <w:r>
        <w:t>Căn cứ khoản 2 Điều 7 Nghị định số 126/2020/NĐ-CP ngày 19/10/2020 của Chính phủ quy định về hồ sơ khai thuế.</w:t>
      </w:r>
    </w:p>
    <w:p>
      <w:r>
        <w:t>Căn cứ các quy định trên, về nguyên tắc, trường hợp cơ sở kinh doanh trong tháng, quý có hàng hóa, dịch vụ xuất khẩu, có số thuế giá trị gia tăng đầu vào chưa được khấu trừ từ 300 triệu đồng trở lên thì được hoàn thuế giá trị gia tăng theo tháng, quý.</w:t>
      </w:r>
    </w:p>
    <w:p>
      <w:r>
        <w:t>Cơ sở kinh doanh phải hạch toán riêng số thuế giá trị gia tăng đầu vào sử dụng cho sản xuất kinh doanh hàng hóa, dịch vụ xuất khẩu. Trường hợp không hạch toán riêng được thì số thuế giá trị gia tăng đầu vào của hàng hóa, dịch vụ xuất khẩu được xác định theo tỷ lệ giữa doanh thu của hàng hóa, dịch vụ xuất khẩu trên tổng doanh thu hàng hóa, dịch vụ của các kỳ khai thuế giá trị gia tăng tính từ kỳ khai thuế tiếp theo kỳ hoàn thuế liền trước đến kỳ đề nghị hoàn thuế hiện tại.</w:t>
      </w:r>
    </w:p>
    <w:p>
      <w:r>
        <w:t>Theo quy định pháp luật quản lý thuế thì hồ sơ khai thuế tương ứng với từng loại thuế, người nộp thuế, phù hợp với phương pháp tính thuế, kỳ tính thuế. Trường hợp cùng một loại thuế mà người nộp thuế có nhiều hoạt động kinh doanh thì thực hiện khai chung trên một hồ sơ khai thuế, trừ một số trường hợp theo quy định, trong đó có trường hợp người nộp thuế đang hoạt động có dự án đầu tư thuộc diện được hoàn thuế giá trị gia tăng thì phải lập hồ sơ khai thuế giá trị gia tăng riêng cho từng dự án đầu tư.</w:t>
      </w:r>
    </w:p>
    <w:p>
      <w:r>
        <w:t>Tại công văn số 425/CCTKV.XVI-TTKT2 của Chi cục Thuế khu vực XVI chưa nêu cụ thể căn cứ, lý do đề xuất yêu cầu hạch toán riêng doanh thu của 02 dự án đầu tư để xác định tỷ lệ xuất khẩu của từng dự án. Do đó, căn cứ công văn số 5029/TCT-PC ngày 09/11/2023 về việc tăng cường kỷ cương, kỷ luật trong việc ban hành công văn hướng dẫn về chính sách thuế, quản lý thuế liên quan đến nghĩa vụ thuế của người nộp thuế, đề nghị Thuế thành phố Hồ Chí Minh căn cứ các quy định, hướng dẫn trên, nghiên cứu hướng dẫn tại công văn nêu trên và hồ sơ thực tế của doanh nghiệp để xử lý theo quy định.</w:t>
      </w:r>
    </w:p>
    <w:p>
      <w:r>
        <w:t>Cục Thuế có ý kiến để Thuế thành phố Hồ Chí Minh được biết./.</w:t>
      </w:r>
    </w:p>
    <w:p>
      <w:r>
        <w:t>Nơi nhận:</w:t>
      </w:r>
    </w:p>
    <w:p>
      <w:r>
        <w:t>- Như trên;</w:t>
      </w:r>
    </w:p>
    <w:p>
      <w:r>
        <w:t>- Phó CTr Đặng Ngọc Minh (để b/c);</w:t>
      </w:r>
    </w:p>
    <w:p>
      <w:r>
        <w:t>- Các Ban: PC, NVT - CT;</w:t>
      </w:r>
    </w:p>
    <w:p>
      <w:r>
        <w:t>- Website CT;</w:t>
      </w:r>
    </w:p>
    <w:p>
      <w:r>
        <w:t>- Lưu: VT, CS (3b).</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