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2561/CT-CS năm 2025 về chính sách thuế nhà thầu đối với bản quyền phần mềm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2561/CT-CS</w:t>
      </w:r>
    </w:p>
    <w:p>
      <w:r>
        <w:t>V/v chính sách thuế</w:t>
      </w:r>
    </w:p>
    <w:p>
      <w:r>
        <w:t>Hà Nội, ngày 18 tháng 7 năm 2025</w:t>
      </w:r>
    </w:p>
    <w:p>
      <w:r>
        <w:t>Kính gửi:  Thuế Thành phố Hà Nội</w:t>
      </w:r>
    </w:p>
    <w:p>
      <w:r>
        <w:t>Cục Thuế nhận được công văn số 15449/CCTKV01-TTKT1 ngày 21/5/2025 của Chi cục Thuế Khu vực I (nay là Thuế Thành phố Hà Nội) vướng mắc về thuế nhà thầu đối với bản quyền phần mềm tại Công ty Cổ phần đầu tư y tế Việt Mỹ. Về vấn đề này, Cục Thuế có ý kiến như sau:</w:t>
      </w:r>
    </w:p>
    <w:p>
      <w:r>
        <w:t>- Tại khoản 25 Điều 3 Luật Quản lý thuế số 38/2019/QH14 ngày 13/6/2019 của Quốc hội quy định:</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Tại Điều 112 Luật Quản lý thuế số 38/2019/QH14 ngày 13/6/2019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 Tại khoản 3 Điều 7 Thông tư số 103/2014/TT-BTC ngày 06/8/2014 của Bộ Tài chính hướng dẫn thực hiện nghĩa vụ thuế áp dụng đối với tổ chức, cá nhân nước ngoài kinh doanh tại Việt Nam hoặc có thu nhập tại Việt Nam quy định:</w:t>
      </w:r>
    </w:p>
    <w:p>
      <w:r>
        <w:t>“…</w:t>
      </w:r>
    </w:p>
    <w:p>
      <w:r>
        <w:t>- Thu nhập từ tiền bản quyền là khoản thu nhập dưới bất kỳ hình thức nào được trả cho quyền sử dụng, chuyển quyền sở hữu trí tuệ và chuyển giao công nghệ, bản quyền phần mềm (bao gồm: các khoản tiền trả cho quyền sử dụng, chuyển giao quyền tác giả và quyền chủ sở hữu tác phẩm; chuyển giao quyền sở hữu công nghiệp; chuyển giao công nghệ, bản quyền phần mềm).</w:t>
      </w:r>
    </w:p>
    <w:p>
      <w:r>
        <w:t>“Quyền tác giả, quyền chủ sở hữu tác phẩm”, “Quyền sở hữu công nghiệp”, “Chuyển giao công nghệ” quy định tại Bộ Luật Dân sự, Luật Sở hữu trí tuệ, Luật Chuyển giao công nghệ và các văn bản hướng dẫn thi hành.</w:t>
      </w:r>
    </w:p>
    <w:p>
      <w:r>
        <w:t>…”</w:t>
      </w:r>
    </w:p>
    <w:p>
      <w:r>
        <w:t>- Tại điểm b.1 khoản 2 Điều 13 Thông tư số 103/2014/TT-BTC ngày 06/8/2014 của Bộ Tài chính hướng dẫn thực hiện nghĩa vụ thuế áp dụng đối với tổ chức, cá nhân nước ngoài kinh doanh tại Việt Nam hoặc có thu nhập tại Việt Nam quy định:</w:t>
      </w:r>
    </w:p>
    <w:p>
      <w: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
        <w:t>…”</w:t>
      </w:r>
    </w:p>
    <w:p>
      <w:r>
        <w:t>Căn cứ các quy định nêu trên, nghĩa vụ thuế của hoạt động giao dịch được xác định theo bản chất của hoạt động, giao dịch đó. Đề nghị Thuế Thành phố Hà Nội áp dụng nguyên tắc theo quy định tại khoản 25 Điều 3 Luật Quản lý thuế số 38/2019/QH14 và các quy định pháp lý trên, rà soát hợp đồng mua bán thiết bị y tế của Công ty Cổ phần đầu tư y tế Việt Mỹ cùng các phụ lục hợp đồng kèm theo để xác định nghĩa vụ thuế tương ứng với giá trị tạo ra từ bản chất giao dịch của Công ty đảm bảo phù hợp với quy định pháp luật và thực tế phát sinh.</w:t>
      </w:r>
    </w:p>
    <w:p>
      <w:r>
        <w:t>Cục Thuế trả lời để Thuế Thành phố Hà Nội được biết./.</w:t>
      </w:r>
    </w:p>
    <w:p>
      <w:r>
        <w:t>Nơi nhận:</w:t>
      </w:r>
    </w:p>
    <w:p>
      <w:r>
        <w:t>- Như trên;</w:t>
      </w:r>
    </w:p>
    <w:p>
      <w:r>
        <w:t>- PCTr. Đặng Ngọc Minh (để b/c);</w:t>
      </w:r>
    </w:p>
    <w:p>
      <w:r>
        <w:t>- Ban Pháp chế - CT;</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