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2509/TCT-CS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2509/TCT-CS</w:t>
      </w:r>
    </w:p>
    <w:p>
      <w:r>
        <w:t>V/v chính sách thuế.</w:t>
      </w:r>
    </w:p>
    <w:p>
      <w:r>
        <w:t>Hà Nội, ngày 20 tháng 6 năm 2023</w:t>
      </w:r>
    </w:p>
    <w:p>
      <w:r>
        <w:t>Kính gửi:  Cục Thuế thành phố Hải Phòng.</w:t>
      </w:r>
    </w:p>
    <w:p>
      <w:r>
        <w:t>Tổng cục Thuế nhận được công văn số 1236/CTHPH-TTHT ngày 27/3/2023 của Cục Thuế thành phố Hải Phòng về chính sách thuế. Về vấn đề này, Tổng cục Thuế có ý kiến như sau:</w:t>
      </w:r>
    </w:p>
    <w:p>
      <w:r>
        <w:t>Tại Điều 8 Nghị định số 209/2013/NĐ-CP ngày 18/12/2013 của Chính phủ quy định:</w:t>
      </w:r>
    </w:p>
    <w:p>
      <w:r>
        <w:t>“Điều 8. Phương pháp tính trực tiếp trên giá trị gia tăng</w:t>
      </w:r>
    </w:p>
    <w:p>
      <w:r>
        <w:t>Phương pháp tính trực tiếp trên giá trị gia tăng thực hiện theo quy định tại Điều 11 Luật thuế giá trị gia tăng và Khoản 5 Điều 1 Luật sửa đổi, bổ sung một số điều của Luật thuế giá trị gia tăng.</w:t>
      </w:r>
    </w:p>
    <w:p>
      <w:r>
        <w:t>1. Số thuế giá trị gia tăng phải nộp theo phương pháp tính trực tiếp trên giá trị gia tăng bằng giá trị gia tăng nhân với thuế suất thuế giá trị gia tăng 10% áp dụng đối với hoạt động mua, bán, chế tác vàng bạc, đá quý.</w:t>
      </w:r>
    </w:p>
    <w:p>
      <w:r>
        <w:t>…</w:t>
      </w:r>
    </w:p>
    <w:p>
      <w:r>
        <w:t>Trường hợp cơ sở kinh doanh có hoạt động mua, bán, chế tác vàng, bạc, đá quý thì cơ sở kinh doanh phải hạch toán riêng hoạt động này để nộp thuế theo phương pháp tính trực tiếp trên giá trị gia tăng quy định tại Khoản 1 Điều này.”</w:t>
      </w:r>
    </w:p>
    <w:p>
      <w:r>
        <w:t>Tại khoản 3 Điều 3 Thông tư số 119/2014/TT-BTC ngày 25/4/2014 của Bộ Tài chính sửa đổi, bổ sung khoản 4 Điều 12 Thông tư số 219/2013/TT-BTC hướng dẫn: “  3.    Sửa đổi, bổ sung khoản 3, 4 Điều 12 Thông tư số 219/2013/TT-BTC như sau:</w:t>
      </w:r>
    </w:p>
    <w:p>
      <w:r>
        <w:t>“…</w:t>
      </w:r>
    </w:p>
    <w:p>
      <w:r>
        <w:t>4. Các trường hợp khác:</w:t>
      </w:r>
    </w:p>
    <w:p>
      <w:r>
        <w:t>a) Trường hợp cơ sở kinh doanh có hoạt động mua, bán, chế tác vàng, bạc, đá quý thì cơ sở kinh doanh phải hạch toán riêng hoạt động này để nộp thuế theo phương pháp tính trực tiếp trên giá trị gia tăng hướng dẫn tại Điều 13 Thông tư này.””</w:t>
      </w:r>
    </w:p>
    <w:p>
      <w:r>
        <w:t>Căn cứ các quy định, hướng dẫn nêu trên, trường hợp Công ty TNHH Estelle Việt Nam thuộc đối tượng tính thuế GTGT theo phương pháp khấu trừ thuế, có hoạt động mua bán, chế tác, sản xuất hàng trang sức từ vàng, bạc, đá quý thì Công ty phải hạch toán riêng hoạt động mua bán, chế tác vàng, bạc, đá quý để kê khai, nộp thuế theo phương pháp tính trực tiếp trên GTGT.</w:t>
      </w:r>
    </w:p>
    <w:p>
      <w:r>
        <w:t>Tổng cục Thuế có ý kiến để Cục Thuế thành phố Hải Phòng biết./.</w:t>
      </w:r>
    </w:p>
    <w:p>
      <w:r>
        <w:t>Nơi nhận:</w:t>
      </w:r>
    </w:p>
    <w:p>
      <w:r>
        <w:t>- Như trên;</w:t>
      </w:r>
    </w:p>
    <w:p>
      <w:r>
        <w:t>- Phó TCTr Đặng Ngọc Minh (để b/c);</w:t>
      </w:r>
    </w:p>
    <w:p>
      <w:r>
        <w:t>- Vụ KK&amp;KTT, PC - TCT;</w:t>
      </w:r>
    </w:p>
    <w:p>
      <w:r>
        <w:t>- Lưu: VT, CS (3)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