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2497/TCT-CS năm 2023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2497/TCT-CS</w:t>
      </w:r>
    </w:p>
    <w:p>
      <w:r>
        <w:t>V/v: chính sách thuế GTGT</w:t>
      </w:r>
    </w:p>
    <w:p>
      <w:r>
        <w:t>Hà Nội, ngày 20 tháng 6 năm 2023</w:t>
      </w:r>
    </w:p>
    <w:p>
      <w:r>
        <w:t>Kính gửi:  Ngân hàng TNHH MTV United Overseas Bank Việt Nam.</w:t>
      </w:r>
    </w:p>
    <w:p>
      <w:r>
        <w:t>(Địa chỉ: Tầng 5, Tầng 11 Tòa nhà Central Plaza, Số 17 Lê Duẩn, Phường Bến Nghé, Quận 1, TP. Hồ Chí Minh)</w:t>
      </w:r>
    </w:p>
    <w:p>
      <w:r>
        <w:t>Tổng cục Thuế nhận được công văn số 872/2022/UOBV-HCM ngày 19/12/2022 của Ngân hàng TNHH MTV United Overseas Bank Việt Nam (Ngân hàng UOBV) đề nghị hướng dẫn về chính sách thuế GTGT. Về vấn đề này, Tổng cục Thuế có ý kiến như sau:</w:t>
      </w:r>
    </w:p>
    <w:p>
      <w:r>
        <w:t>Căn cứ Điều 5 Luật thuế GTGT quy định về đối tượng không chịu thuế;</w:t>
      </w:r>
    </w:p>
    <w:p>
      <w:r>
        <w:t>Căn cứ Điều 8 Luật thuế GTGT quy định về thuế suất thuế GTGT.</w:t>
      </w:r>
    </w:p>
    <w:p>
      <w:r>
        <w:t>Căn cứ Điều 4, Điều 9, Điều 10, Điều 11 Thông tư số 219/2008/TT-BTC ngày 31/12/2008 của Bộ Tài chính hướng dẫn về đối tượng không chịu thuế GTGT, thuế suất thuế GTGT 0%, 5%, 10%.</w:t>
      </w:r>
    </w:p>
    <w:p>
      <w:r>
        <w:t>Căn cứ khoản 6 Điều 10 Nghị định 123/2020/NĐ-CP ngày 19/10/2020 của Chính phủ quy định về nội dung hóa đơn.</w:t>
      </w:r>
    </w:p>
    <w:p>
      <w:r>
        <w:t>Căn cứ Thỏa thuận Tài sản và Trách nhiệm sửa đổi ngày 28/1/2022 giữa Ngân hàng Citibank N.A - Chi nhánh Hà Nội và Chi nhánh Thành phố Hồ Chí Minh và Ngân hàng TNHH MTV United Overseas Bank Việt Nam).</w:t>
      </w:r>
    </w:p>
    <w:p>
      <w:r>
        <w:t>Việc áp dụng đối tượng không chịu thuế hay thuế suất thuế GTGT về nguyên tắc xác định đối với từng hàng hóa, dịch vụ. Theo nội dung trình bày của UOBV tại công văn số 872/2022/UOBV-HCM; Thỏa thuận giữa Ngân hàng Citibank và Ngân hàng UOBV nêu trên thì chưa có cơ sở để xác định giao dịch chuyển nhượng mảng kinh doanh ngân hàng bán lẻ bao gồm một hàng hóa, dịch vụ hay nhiều hàng hóa, dịch vụ trong một giao dịch.</w:t>
      </w:r>
    </w:p>
    <w:p>
      <w:r>
        <w:t>Để có cơ sở xác định, đề nghị Ngân hàng TNHH MTV United Overseas Bank xin ý kiến của Ngân hàng Nhà nước về giao dịch chuyển nhượng này. Trên cơ sở ý kiến của Ngân hàng Nhà nước, căn cứ quy định pháp luật về thuế GTGT, Hợp đồng hoặc Thỏa thuận và các tài liệu có liên quan khi thực hiện giao dịch chuyển nhượng để Ngân hàng UOBV áp dụng đối tượng không chịu thuế và mức thuế suất thuế GTGT theo quy định.</w:t>
      </w:r>
    </w:p>
    <w:p>
      <w:r>
        <w:t>Tổng cục Thuế có ý kiến để TNHH MTV United Overseas Bank Việt Nam được biết./.</w:t>
      </w:r>
    </w:p>
    <w:p>
      <w:r>
        <w:t>Nơi nhận:</w:t>
      </w:r>
    </w:p>
    <w:p>
      <w:r>
        <w:t>- Như trên;</w:t>
      </w:r>
    </w:p>
    <w:p>
      <w:r>
        <w:t>- Phó TCT Đặng Ngọc Minh (để báo cáo);</w:t>
      </w:r>
    </w:p>
    <w:p>
      <w:r>
        <w:t>- Cục Thuế TP Hồ Chí Minh;</w:t>
      </w:r>
    </w:p>
    <w:p>
      <w:r>
        <w:t>- Vụ/đơn vị: PC, TCNH, CST- BTC;</w:t>
      </w:r>
    </w:p>
    <w:p>
      <w:r>
        <w:t>- Vụ/đơn vỊ: DNL, PC -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