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2474/CT-CS năm 2025 về hóa đơn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2474/CT-CS</w:t>
      </w:r>
    </w:p>
    <w:p>
      <w:r>
        <w:t>V/v hóa đơn điện tử.</w:t>
      </w:r>
    </w:p>
    <w:p>
      <w:r>
        <w:t>Hà Nội, ngày 15 tháng 7 năm 2025</w:t>
      </w:r>
    </w:p>
    <w:p>
      <w:r>
        <w:t>Kính gửi:  Công ty TNHH AEON Việt Nam.</w:t>
      </w:r>
    </w:p>
    <w:p>
      <w:r>
        <w:t>Cục Thuế nhận được văn bản số 159-2025/CV-ACC/HQ không đề ngày của Công ty TNHH AEON VN về hóa đơn điện tử. Về vấn đề này, Cục Thuế có ý kiến như sau:</w:t>
      </w:r>
    </w:p>
    <w:p>
      <w:r>
        <w:t>Căn cứ Điều 20 Nghị định số 123/2020/NĐ-CP ngày 19/10/2020 của Chính phủ quy định về xử lý sự cố đối với hóa đơn điện tử có mã của cơ quan thuế;</w:t>
      </w:r>
    </w:p>
    <w:p>
      <w:r>
        <w:t>Căn cứ khoản 1 Điều 4 và khoản 3 Điều 11 Nghị định số 123/2020/NĐ-CP (được sửa đổi, bổ sung tại điểm a khoản 3 và khoản 8 Điều 1 Nghị định số 70/2025/NĐ-CP) quy định về nguyên tác, quản lý, sử dụng hóa đơn, chứng từ; hóa đơn điện tử khởi tạo từ máy tính tiền.</w:t>
      </w:r>
    </w:p>
    <w:p>
      <w:r>
        <w:t>Việc áp dụng hóa đơn điện tử khởi tạo từ máy tính tiền và xử lý khi có sự cố đã được quy định tại Nghị định số 123/2020/NĐ-CP ngày 19/10/2020 và Nghị định số 70/2025/NĐ-CP ngày 20/3/2025 của Chính phủ.</w:t>
      </w:r>
    </w:p>
    <w:p>
      <w:r>
        <w:t>Đề nghị Công ty TNHH AEON Việt Nam căn cứ các quy định nêu trên để nghiên cứu thực hiện. Trường hợp còn vướng mắc đề nghị liên hệ với cơ quan thuế quản lý để được hướng dẫn xử lý theo quy định của pháp luật.</w:t>
      </w:r>
    </w:p>
    <w:p>
      <w:r>
        <w:t>Cục Thuế có ý kiến để Công ty TNHH AEON Việt Nam được biết./.</w:t>
      </w:r>
    </w:p>
    <w:p>
      <w:r>
        <w:t>Nơi nhận:</w:t>
      </w:r>
    </w:p>
    <w:p>
      <w:r>
        <w:t>- Như trên;</w:t>
      </w:r>
    </w:p>
    <w:p>
      <w:r>
        <w:t>- PCTr Đặng Ngọc Minh (để b/c);</w:t>
      </w:r>
    </w:p>
    <w:p>
      <w:r>
        <w:t>- Ban PC,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