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2438/TCT-CS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2438/TCT-CS</w:t>
      </w:r>
    </w:p>
    <w:p>
      <w:r>
        <w:t>V/v thuế GTGT</w:t>
      </w:r>
    </w:p>
    <w:p>
      <w:r>
        <w:t>Hà Nội, ngày 15 tháng 6 năm 2023</w:t>
      </w:r>
    </w:p>
    <w:p>
      <w:r>
        <w:t>Kính gửi:  Cục Thuế tỉnh Bình Định</w:t>
      </w:r>
    </w:p>
    <w:p>
      <w:r>
        <w:t>Tổng cục Thuế nhận được công văn số 1171/CTBDI-KK ngày 11/4/2023 của Cục Thuế tỉnh Bình Định về thuế GTGT. Về vấn đề này, Tổng cục Thuế có ý kiến như sau:</w:t>
      </w:r>
    </w:p>
    <w:p>
      <w:r>
        <w:t>Căn cứ khoản 5, khoản 6 Điều 3 Luật Đầu tư số 60/2020/QH14 ngày 16/7/2020 của Quốc hội quy định về dự án đầu tư mở rộng, dự án đầu tư mới;</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khoản 2 Điều 3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giá trị gia tăng trường hợp hoàn thuế dự án đầu tư.</w:t>
      </w:r>
    </w:p>
    <w:p>
      <w:r>
        <w:t>Về việc xác định Dự án “Khu dịch vụ nhà hàng, khách sạn, bến du thuyền Grand Palace” của Doanh nghiệp tư nhân Thương mại Thành Trung có phải là dự án đầu tư mới, ngày 21/02/2023 Sở Kế hoạch và Đầu tư tỉnh Bình Định đã có công văn số 320/SKHĐT-TTXT trả lời Doanh nghiệp tư nhân Thương mại Thành Trung. Đề nghị Cục Thuế tỉnh Bình Định căn cứ các quy định nêu trên, ý kiến của Sở Kế hoạch và Đầu tư tỉnh Bình Định tại công văn số 320/SKHDT-TTXT ngày 21/02/2023 và tình hình thực tế để xử lý theo quy định.</w:t>
      </w:r>
    </w:p>
    <w:p>
      <w:r>
        <w:t>Tổng cục Thuế có ý kiến để Cục Thuế tỉnh Bình Định được biết./.</w:t>
      </w:r>
    </w:p>
    <w:p>
      <w:r>
        <w:t>Nơi nhận:</w:t>
      </w:r>
    </w:p>
    <w:p>
      <w:r>
        <w:t>- Như trên;</w:t>
      </w:r>
    </w:p>
    <w:p>
      <w:r>
        <w:t>- Vụ PC, KK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