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2284/CTH-QLDN1 năm 2025 về thu nhập chịu thuế thu nhập cá nhân đối với khoản hỗ trợ công tác phí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2284/CTH-QLDN1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2284/CTH-QLDN1</w:t>
      </w:r>
    </w:p>
    <w:p>
      <w:r>
        <w:t>V/v thu nhập chịu thuế TNCN</w:t>
      </w:r>
    </w:p>
    <w:p>
      <w:r>
        <w:t>Cần Thơ, ngày 15 tháng 9 năm 2025</w:t>
      </w:r>
    </w:p>
    <w:p>
      <w:r>
        <w:t>Kính gửi:  Công ty TNHH MTV The Fruit Republic Cần Thơ</w:t>
      </w:r>
    </w:p>
    <w:p>
      <w:r>
        <w:t>Địa chỉ: Lô B15-1, đường 1A, Khu công nghiệp Hưng Phú 1, Phường Hưng Phú, thành phố Cần Thơ</w:t>
      </w:r>
    </w:p>
    <w:p>
      <w:r>
        <w:t>Phúc đáp Công văn số TFR/CV.260825.01 ngày 26/8/2025 của Công ty TNHH MTV The Fruit Republic Cần Thơ (mã số thuế: 1801277862) về việc thu nhập chịu thuế TNCN đối với khoản hỗ trợ công tác phí.</w:t>
      </w:r>
    </w:p>
    <w:p>
      <w:r>
        <w:t>Thuế thành phố Cần Thơ có ý kiến như sau:</w:t>
      </w:r>
    </w:p>
    <w:p>
      <w:r>
        <w:t>Căn cứ khoản 2 Điều 2 Thông tư 111/2013/TT-BTC ngày 15/08/2013 của Bộ Tài chính hướng dẫn:</w:t>
      </w:r>
    </w:p>
    <w:p>
      <w:r>
        <w:t>“Điều 2. Các khoản thu nhập chịu thuế</w:t>
      </w:r>
    </w:p>
    <w:p>
      <w:r>
        <w:t>2. Thu nhập từ tiền lương, tiền công</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đ.4) Phần khoán chi văn phòng phẩm, công tác phí, điện thoại, trang phục, ... cao hơn mức quy định hiện hành của Nhà nước. Mức khoán chi không tính vào thu nhập chịu thuế đối với một số trường hợp như sau:</w:t>
      </w:r>
    </w:p>
    <w:p>
      <w:r>
        <w:t>đ.4.1) Đối với cán bộ, công chức và người làm việc trong các cơ quan hành chính sự nghiệp, Đảng, đoàn thể, Hội, Hiệp hội: mức khoán chi áp dụng theo văn bản hướng dẫn của Bộ Tài chính.</w:t>
      </w:r>
    </w:p>
    <w:p>
      <w: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r>
        <w:t>đ.4.3) 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r>
        <w:t>…</w:t>
      </w:r>
    </w:p>
    <w:p>
      <w:r>
        <w:t>g) Không tính vào thu nhập chịu thuế đối với các khoản sau:</w:t>
      </w:r>
    </w:p>
    <w:p>
      <w:r>
        <w:t>…</w:t>
      </w:r>
    </w:p>
    <w:p>
      <w:r>
        <w:t>g.5) Khoản tiền ăn giữa ca, ăn trưa do người sử dụng lao động tổ chức bữa ăn giữa ca, ăn trưa cho người lao động dưới các hình thức như trực tiếp nấu ăn, mua suất ăn, cấp phiếu ăn.</w:t>
      </w:r>
    </w:p>
    <w:p>
      <w: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r>
        <w:t>Mức chi cụ thể áp dụng đối với doanh nghiệp Nhà nước và các tổ chức, đơn vị thuộc cơ quan hành chính sự nghiệp, Đảng, Đoàn thể, các Hội không quá mức hướng dẫn của Bộ Lao động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r>
        <w:t>…”</w:t>
      </w:r>
    </w:p>
    <w:p>
      <w:r>
        <w:t>Căn cứ Điều 4 Thông tư 96/2025/TT-BTC ngày 22/6/2015 của Bộ Tài chính sửa đổi, bổ sung Điều 6 Thông tư số 78/2014/TT-BTC (đã được sửa đổi, bổ sung tại Khoản 2 Điều 6 Thông tư số 119/2014/TT-BTC và Điều 1 Thông tư số 151/2014/TT-BTC) hướng dẫn:</w:t>
      </w:r>
    </w:p>
    <w:p>
      <w:r>
        <w:t>“Điều 6. Các khoản chi được trừ và không được trừ khi xác định thu nhập chịu thuế</w:t>
      </w:r>
    </w:p>
    <w:p>
      <w:r>
        <w:t>2. Các khoản chi không được trừ khi xác định thu nhập chịu thuế bao gồm:</w:t>
      </w:r>
    </w:p>
    <w:p>
      <w:r>
        <w:t>…</w:t>
      </w:r>
    </w:p>
    <w:p>
      <w:r>
        <w:t>2.9. Chi phụ cấp tàu xe đi nghỉ phép không đúng theo quy định của Bộ luật Lao động.</w:t>
      </w:r>
    </w:p>
    <w:p>
      <w:r>
        <w:t>Chi phụ cấp cho người lao động đi công tác, chi phí đi lại và tiền thuê chỗ ở cho người lao động đi công tác nếu có đầy đủ hóa đơn, chứng từ được tính vào chi phí được trừ khi xác định thu nhập chịu thuế. Trường hợp doanh nghiệp có khoán tiền đi lại, tiền ở, phụ cấp cho người lao động đi công tác và thực hiện đúng theo quy chế tài chính hoặc quy chế nội bộ của doanh nghiệp thì được tính vào chi phí được trừ khoản chi khoán tiền đi lại, tiền ở, tiền phụ cấp.</w:t>
      </w:r>
    </w:p>
    <w:p>
      <w:r>
        <w:t>Trường hợp doanh nghiệp cử người lao động đi công tác (bao gồm công tác trong nước và công tác nước ngoài) nếu có phát sinh chi phí từ 20 triệu đồng trở lên, chi phí mua vé máy bay mà các khoản chi phí này được thanh toán bằng thẻ ngân hàng của cá nhân thì đủ điều kiện là hình thức thanh toán không dùng tiền mặt và tính vào chi phí được trừ nếu đáp ứng đủ các điều kiện sau:</w:t>
      </w:r>
    </w:p>
    <w:p>
      <w:r>
        <w:t>- Có hóa đơn, chứng từ phù hợp do người cung cấp hàng hóa, dịch vụ giao xuất.</w:t>
      </w:r>
    </w:p>
    <w:p>
      <w:r>
        <w:t>- Doanh nghiệp có quyết định hoặc văn bản cử người lao động đi công tác.</w:t>
      </w:r>
    </w:p>
    <w:p>
      <w:r>
        <w:t>- Quy chế tài chính hoặc quy chế nội bộ của doanh nghiệp cho phép người lao động được phép thanh toán khoản công tác phí, mua vé máy bay bằng thẻ ngân hàng do cá nhân là chủ thẻ và khoản chi này sau đó được doanh nghiệp thanh toán lại cho người lao động.</w:t>
      </w:r>
    </w:p>
    <w:p>
      <w:r>
        <w:t>Trường hợp doanh nghiệp có mua vé máy bay qua website thương mại điện tử cho người lao động đi công tác để phục vụ hoạt động sản xuất kinh doanh của doanh nghiệp thì chứng từ làm căn cứ để tính vào chi phí được trừ là vé máy bay điện tử, thẻ lên máy bay (boarding pass) và chứng từ thanh toán không dùng tiền mặt của doanh nghiệp có cá nhân tham gia hành trình vận chuyển. Trường hợp doanh nghiệp không thu hồi được thẻ lên máy bay của người lao động thì chứng từ làm căn cứ để tính vào chi phí được trừ là vé máy bay điện tử, quyết định hoặc văn bản cử người lao động đi công tác và chứng từ thanh toán không dùng tiền mặt của doanh nghiệp có cá nhân tham gia hành trình vận chuyển.</w:t>
      </w:r>
    </w:p>
    <w:p>
      <w:r>
        <w:t>…”</w:t>
      </w:r>
    </w:p>
    <w:p>
      <w:r>
        <w:t>Đề nghị Công ty TNHH MTV The Fruit Republic Cần Thơ nghiên cứu các quy định pháp luật thuế và căn cứ thực tế phát sinh tại Công ty để thực hiện đúng quy định.</w:t>
      </w:r>
    </w:p>
    <w:p>
      <w:r>
        <w:t>Thuế thành phố Cần Thơ trả lời để Công ty TNHH MTV The Fruit Republic Cần Thơ biết./.</w:t>
      </w:r>
    </w:p>
    <w:p>
      <w:r>
        <w:t>Nơi nhận:</w:t>
      </w:r>
    </w:p>
    <w:p>
      <w:r>
        <w:t>- Như trên;</w:t>
      </w:r>
    </w:p>
    <w:p>
      <w:r>
        <w:t>- NVDTPC “kiểm tra”;</w:t>
      </w:r>
    </w:p>
    <w:p>
      <w:r>
        <w:t>- Phòng KTR1;</w:t>
      </w:r>
    </w:p>
    <w:p>
      <w:r>
        <w:t>- Các Phòng QLDN 2, 3, 4;</w:t>
      </w:r>
    </w:p>
    <w:p>
      <w:r>
        <w:t>- Website;</w:t>
      </w:r>
    </w:p>
    <w:p>
      <w:r>
        <w:t>- Lưu: VT, QLDN1(2b).</w:t>
      </w:r>
    </w:p>
    <w:p>
      <w:r>
        <w:t>KT.TRƯỞNG THUẾ THÀNH PHỐ</w:t>
      </w:r>
    </w:p>
    <w:p>
      <w:r>
        <w:t>PHÓ TRƯỞNG THUẾ THÀNH PHỐ</w:t>
      </w:r>
    </w:p>
    <w:p>
      <w:r>
        <w:t>Huỳnh Tấn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