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2234/BXD-KTXD năm 2024 các vấn đề liên quan đến thực hiện quy trình của Ban xử lý tranh chấp (DAB)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2234/BXD-KTXD</w:t>
      </w:r>
    </w:p>
    <w:p>
      <w:r>
        <w:t>V/v các vấn đề liên quan đến thực hiện quy trình của Ban xử lý  tr anh chấp (DAB)</w:t>
      </w:r>
    </w:p>
    <w:p>
      <w:r>
        <w:t>Hà Nội, ngày  22  tháng  5  năm 20 24</w:t>
      </w:r>
    </w:p>
    <w:p>
      <w:r>
        <w:t>Kính gửi:  Ban Quản lý đường sắt đô thị,  U BND TP. Hồ Chí Minh</w:t>
      </w:r>
    </w:p>
    <w:p>
      <w:r>
        <w:t>Bộ Xây dựng nhận được V ă n bản số 993/BQLĐSĐT-QLDA 1  ngày 08/4/2024 của Ban Quản lý đường sắt đô thị, UBND TP. Hồ Chí Minh đề nghị hướng d ẫ n các v ấ n đ ề  liên quan đ ế n thực hiện quy trình của Ban xử lý  tr anh chấp (DAB). Sau khi nghiên cứu, Bộ Xây dựng có ý kiến như sau:</w:t>
      </w:r>
    </w:p>
    <w:p>
      <w:r>
        <w:t>1. Việc quản lý, thực hiện h ợ p đồng xâ y  dựng theo nội dung hợp đồng đã ký kết, phù hợp với hồ sơ mời thầu/ hồ sơ yêu cầu, hồ sơ dự thầu/ hồ sơ đề xuất, tuân thủ quy định pháp luật áp dụng cho hợp đồng.</w:t>
      </w:r>
    </w:p>
    <w:p>
      <w:r>
        <w:t>2. Theo Văn bản số 993/BQLĐSĐT-QLDA1, Hợp đồng ký kết giữa các bên áp dụng mẫu  Hợ p đồng FIDIC, có quy định về quy trình giải quyết tranh chấp thông qua DAB tuy nhiên không có thông tin cụ thể về thời điểm ký kết h ợ p đồng. Trường hợp hợp đồng thuộc phạm vi điều chỉnh của Nghị định số 37/2015/NĐ-CP [1]  thì:</w:t>
      </w:r>
    </w:p>
    <w:p>
      <w:r>
        <w:t>- Mô hình DAB quy định tại Điều 45 Nghị định số 37/2015/NĐ-CP là mô hình giải quyết tranh chấp h ợ p đồng theo cơ chế tự nguyện do các bên thỏa thuận và cam kết thực hiện  tr ong hợp đồng. Do đó, khi các bên đã đồng ý với quyết định của DAB thì phải có nghĩa vụ thực hiện theo nội dung h ợ p đồng đã ký; DAB không phải là cơ quan tài phán theo quy định pháp luật (Trọng tài hoặc Tòa án).</w:t>
      </w:r>
    </w:p>
    <w:p>
      <w:r>
        <w:t>- Việc xác định nghĩa vụ, trách nhiệm thanh toán chi phí DAB theo nguyên tắc tại mục (1) văn bản này; trường h ợ p h ợ p đồng đã k ý  quy định mỗi bên có nghĩa vụ thanh toán 50% chi phí DAB và/ hoặc áp dụng quy định tại điểm (c) khoản 1 Điều 45 Nghị định số 37/2015/NĐ-CP thì các bên, bằng chi phí của mình, có nghĩa vụ thanh toán khoản chi phí này theo nội dung đã cam kết, không tính bổ sung thêm chi phí này trừ trường hợp h ợ p đồng có quy định khác.</w:t>
      </w:r>
    </w:p>
    <w:p>
      <w:r>
        <w:t>Trên đây là ý kiến của Bộ Xây dựng, đề nghị Ban Quản lý đường sắt đô thị, UBND TP. Hồ Chí Minh tổng hợp, báo cáo cấp có thẩm quyền thực hiện theo quy định pháp luật./.</w:t>
      </w:r>
    </w:p>
    <w:p>
      <w:r>
        <w:t>Nơi nhận:</w:t>
      </w:r>
    </w:p>
    <w:p>
      <w:r>
        <w:t>- Như  tr ên;</w:t>
      </w:r>
    </w:p>
    <w:p>
      <w:r>
        <w:t>- TTr .  Bùi Xuân Dũng (đ ể  b/c);</w:t>
      </w:r>
    </w:p>
    <w:p>
      <w:r>
        <w:t>- Lưu: V T,  Cục KTXD  (BTB) .</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 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