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2223/CCTKV18-QLDN2 năm 2025 về chính sách thuế do Chi cục thuế khu vực XVIII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2223/CCTKV18-QLDN2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CỤC THUẾ</w:t>
      </w:r>
    </w:p>
    <w:p>
      <w:r>
        <w:t>CHI CỤC THUẾ KHU VỰC XVIII</w:t>
      </w:r>
    </w:p>
    <w:p>
      <w:r>
        <w:t>-------</w:t>
      </w:r>
    </w:p>
    <w:p>
      <w:r>
        <w:t>CỘNG HÒA XÃ HỘI CHỦ NGHĨA VIỆT NAM</w:t>
      </w:r>
    </w:p>
    <w:p>
      <w:r>
        <w:t>Độc lập - Tự do - Hạnh phúc</w:t>
      </w:r>
    </w:p>
    <w:p>
      <w:r>
        <w:t>---------------</w:t>
      </w:r>
    </w:p>
    <w:p>
      <w:r>
        <w:t>Số: 2223/CCTKV18-QLDN2</w:t>
      </w:r>
    </w:p>
    <w:p>
      <w:r>
        <w:t>V/v chính sách thuế</w:t>
      </w:r>
    </w:p>
    <w:p>
      <w:r>
        <w:t>Bến Tre, ngày 23 tháng 5 năm 2025</w:t>
      </w:r>
    </w:p>
    <w:p>
      <w:r>
        <w:t>Kính gửi:  Độc giả Trần Thị Dạ Thảo</w:t>
      </w:r>
    </w:p>
    <w:p>
      <w:r>
        <w:t>Chi cục Thuế Khu vực XVIII có nhận phiếu chuyển số 373/PC-CT ngày 19 tháng 5 năm 2025 của Cục Thuế về việc trả lời vướng mắc về chính sách thuế của độc giả Trần Thị Dạ Thảo trên Cổng thông tin điện tử - Bộ Tài chính.</w:t>
      </w:r>
    </w:p>
    <w:p>
      <w:r>
        <w:t>Chi cục Thuế Khu vực XVIII có ý kiến như sau:</w:t>
      </w:r>
    </w:p>
    <w:p>
      <w:r>
        <w:t>Tại Khoản 1, Khoản 2 Điều 1 Thông tư 111/2013/TT-BTC ngày 15/08/2013 của Bộ Tài chính, quy định:</w:t>
      </w:r>
    </w:p>
    <w:p>
      <w:r>
        <w:t>“…  Điều 1. Người nộp thuế</w:t>
      </w:r>
    </w:p>
    <w:p>
      <w:r>
        <w:t>1. Cá nhân cư trú là người đáp ứng một trong các điều kiện sau đây:</w:t>
      </w:r>
    </w:p>
    <w:p>
      <w: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
        <w:t>Cá nhân có mặt tại Việt Nam theo hướng dẫn tại điểm này là sự hiện diện của cá nhân đó trên lãnh thổ Việt Nam.</w:t>
      </w:r>
    </w:p>
    <w:p>
      <w:r>
        <w:t>b) Có nơi ở thường xuyên tại Việt Nam theo một trong hai trường hợp sau:</w:t>
      </w:r>
    </w:p>
    <w:p>
      <w:r>
        <w:t>b.1) Có nơi ở thường xuyên theo quy định của pháp luật về cư trú:</w:t>
      </w:r>
    </w:p>
    <w:p>
      <w:r>
        <w:t>b.1.1) Đối với công dân Việt Nam: nơi ở thường xuyên là nơi cá nhân sinh sống thường xuyên, ổn định không có thời hạn tại một chỗ ở nhất định và đã đăng ký thường trú theo quy định của pháp luật về cư trú.</w:t>
      </w:r>
    </w:p>
    <w:p>
      <w:r>
        <w:t>b.1.2) Đối với người nước ngoài: nơi ở thường xuyên là nơi ở thường trú ghi trong Thẻ thường trú hoặc nơi ở tạm trú khi đăng ký cấp Thẻ tạm trú do cơ quan có thẩm quyền thuộc Bộ Công an cấp.</w:t>
      </w:r>
    </w:p>
    <w:p>
      <w:r>
        <w:t>b.2) Có nhà thuê để ở tại Việt Nam theo quy định của pháp luật về nhà ở, với thời hạn của các hợp đồng thuê từ 183 ngày trở lên trong năm tính thuế, cụ thể như sau:</w:t>
      </w:r>
    </w:p>
    <w:p>
      <w: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r>
        <w:t>b.2.2) Nhà thuê để ở bao gồm cả trường hợp ở khách sạn, ở nhà khách, nhà nghỉ, nhà trọ, ở nơi làm việc, ở trụ sở cơ quan,... không phân biệt cá nhân tự thuê hay người sử dụng lao động thuê cho người lao động.</w:t>
      </w:r>
    </w:p>
    <w:p>
      <w: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r>
        <w:t>2. Cá nhân không cư trú là người không đáp ứng điều kiện nêu tại khoản 1, Điều này …”</w:t>
      </w:r>
    </w:p>
    <w:p>
      <w:r>
        <w:t>Tại Điểm c, Khoản 2, Điều 2, Thông tư 111/2013/TT-BTC ngày 15/08/2013 của Bộ Tài chính, quy định:</w:t>
      </w:r>
    </w:p>
    <w:p>
      <w:r>
        <w:t>“…  Điều 2. Các khoản thu nhập chịu thuế</w:t>
      </w:r>
    </w:p>
    <w:p>
      <w:r>
        <w:t>…</w:t>
      </w:r>
    </w:p>
    <w:p>
      <w:r>
        <w:t>2. Thu nhập từ tiền lương, tiền công</w:t>
      </w:r>
    </w:p>
    <w:p>
      <w:r>
        <w:t>…</w:t>
      </w:r>
    </w:p>
    <w:p>
      <w:r>
        <w:t>c) Tiền thù lao nhận được dưới các hình thức như: tiền hoa hồng đại lý bán hàng hóa,  tiền hoa hồng môi giới ;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w:t>
      </w:r>
    </w:p>
    <w:p>
      <w:r>
        <w:t>Tại Khoản 1, Điều 18, Thông tư 111/2013/TT-BTC ngày 15/08/2013 của Bộ Tài chính, quy định:</w:t>
      </w:r>
    </w:p>
    <w:p>
      <w:r>
        <w:t>“…  Điều 18. Đối với thu nhập từ tiền lương, tiền công</w:t>
      </w:r>
    </w:p>
    <w:p>
      <w:r>
        <w:t>1. Thuế thu nhập cá nhân đối với thu nhập từ tiền lương, tiền công  của cá nhân không cư trú  được xác định bằng thu nhập chịu thuế từ tiền lương, tiền công nhân (×) với thuế suất 20% ...”</w:t>
      </w:r>
    </w:p>
    <w:p>
      <w:r>
        <w:t>Tại Khoản 4, Điều 2, Thông tư 103/2014/TT-BTC ngày 06/08/2014 của Bộ Tài chính, quy định:</w:t>
      </w:r>
    </w:p>
    <w:p>
      <w:r>
        <w:t>“…  Điều 2. Đối tượng không áp dụng</w:t>
      </w:r>
    </w:p>
    <w:p>
      <w:r>
        <w:t>4. Tổ chức, cá nhân nước ngoài thực hiện cung cấp dịch vụ dưới đây cho tổ chức, cá nhân Việt Nam mà các dịch vụ được thực hiện ở nước ngoài:</w:t>
      </w:r>
    </w:p>
    <w:p>
      <w:r>
        <w:t>…</w:t>
      </w:r>
    </w:p>
    <w:p>
      <w:r>
        <w:t>Môi giới: bán hàng hóa, cung cấp dịch vụ ra nước ngoài …”</w:t>
      </w:r>
    </w:p>
    <w:p>
      <w:r>
        <w:t>Căn cứ những quy định nêu trên, trường hợp Công ty của độc giả có ký hợp đồng môi giới bán hàng đối với cá nhân đang làm việc và sinh sống tại Lào không đáp ứng điều kiện quy định tại khoản 1 Điều 1 Thông tư 111/2013/TT- BTC thì được xác định là cá nhân không cư trú tại Việt Nam theo quy định tại khoản 2 Điều 1 Thông tư 111/2013/TT-BTC của Bộ Tài chính. Đối với cá nhân không cư trú có thu nhập chịu thuế từ tiền lương, tiền công thì áp dụng mức thuế suất thuế TNCN là 20% theo quy định tại Khoản 1, Điều 18 Thông tư 111/2013/TT-BTC.</w:t>
      </w:r>
    </w:p>
    <w:p>
      <w:r>
        <w:t>Trường hợp Công ty ký hợp đồng với cá nhân về môi giới bán hàng hóa, cung cấp dịch vụ ra nước ngoài đáp ứng điều kiện theo quy định tại khoản 4 Điều 2 Thông tư số 103/2014/TT-BTC thì khoản thu nhập từ môi giới bán hàng hóa, cung cấp dịch vụ của cá nhân thuộc đối tượng không áp dụng thuế nhà thầu.</w:t>
      </w:r>
    </w:p>
    <w:p>
      <w:r>
        <w:t>Chi cục Thuế Khu vực XVIII thông báo đến độc giả Trần Thị Dạ Thảo biết và thực hiện theo đúng quy định tại các văn bản quy phạm pháp luật đã được trích dẫn tại văn bản này./.</w:t>
      </w:r>
    </w:p>
    <w:p>
      <w:r>
        <w:t>Nơi nhận:</w:t>
      </w:r>
    </w:p>
    <w:p>
      <w:r>
        <w:t>- Như trên;</w:t>
      </w:r>
    </w:p>
    <w:p>
      <w:r>
        <w:t>- Website Chi cục Thuế;</w:t>
      </w:r>
    </w:p>
    <w:p>
      <w:r>
        <w:t>- Phòng NV-DT-PC (để biết);</w:t>
      </w:r>
    </w:p>
    <w:p>
      <w:r>
        <w:t>- Lưu: VT, QLDN2. H (4).</w:t>
      </w:r>
    </w:p>
    <w:p>
      <w:r>
        <w:t>KT. CHI CỤC TRƯỞNG</w:t>
      </w:r>
    </w:p>
    <w:p>
      <w:r>
        <w:t>PHÓ CHI CỤC TRƯỞNG</w:t>
      </w:r>
    </w:p>
    <w:p>
      <w:r>
        <w:t>Huỳnh Minh Giám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