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1879/TCT-CS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1879/TCT-CS</w:t>
      </w:r>
    </w:p>
    <w:p>
      <w:r>
        <w:t>V/v chính sách thuế TNDN.</w:t>
      </w:r>
    </w:p>
    <w:p>
      <w:r>
        <w:t>Hà Nội, ngày 07 tháng 5 năm 2024</w:t>
      </w:r>
    </w:p>
    <w:p>
      <w:r>
        <w:t>Kính gửi:</w:t>
      </w:r>
    </w:p>
    <w:p>
      <w:r>
        <w:t>- Cục Thuế tỉnh Long An;</w:t>
      </w:r>
    </w:p>
    <w:p>
      <w:r>
        <w:t>- Cục Thuế tỉnh Đồng Nai;</w:t>
      </w:r>
    </w:p>
    <w:p>
      <w:r>
        <w:t>- Công ty TNHH Lotte Global Logistics Việt nam.</w:t>
      </w:r>
    </w:p>
    <w:p>
      <w:r>
        <w:t>(Đ/C: Lô A1, đường số 3, KCN Long Hậu, xã Long Hậu, huyện Cần Giuộc, tỉnh Long An).</w:t>
      </w:r>
    </w:p>
    <w:p>
      <w:r>
        <w:t>Tổng cục Thuế nhận được công văn số 08/2024/KT-THUE ngày 22/02/2024 của Công ty TNHH Lotte Global Logistics Việt nam vướng mắc chính sách thuế thu nhập doanh nghiệp (TNDN). Về vấn đề này, Tổng cục Thuế có ý kiến như sau:</w:t>
      </w:r>
    </w:p>
    <w:p>
      <w:r>
        <w:t>- Tại Điều 4 Thông tư số 96/2015/TT-BTC ngày 22/6/2015 của Bộ Tài chính sửa đổi, bổ sung Điều 6 Thông tư số 78/2014/TT-BTC ngày 18/6/2014 của Bộ Tài chính hướng dẫn về thuế thu nhập doanh nghiệp quy định:</w:t>
      </w:r>
    </w:p>
    <w:p>
      <w:r>
        <w:t>“Điều 6. Các khoản chi được trừ và không được trừ khi xác định thu nhập chịu thuế</w:t>
      </w:r>
    </w:p>
    <w:p>
      <w:r>
        <w:t>2. Các khoản chi không được trừ khi xác định thu nhập chịu thuế bao gồm: ...</w:t>
      </w:r>
    </w:p>
    <w:p>
      <w:r>
        <w:t>2.31. Chi về đầu tư xây dựng cơ bản trong giai đoạn đầu tư để hình thành tài sản cố định.</w:t>
      </w:r>
    </w:p>
    <w:p>
      <w: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r>
        <w:t>Trường hợp trong giai đoạn đầu tư, doanh nghiệp có phát sinh khoản 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r>
        <w:t>- Liên quan đến trường hợp của Công ty TNHH Lotte Global Logistics Việt nam, Cục Thuế tỉnh Long An có công văn số 4305/CTLAN-TTHT ngày 2/11/2023, Cục Thuế tỉnh Đồng Nai có công văn số 13515/CTDON-TTHT ngày 5/12/2023 trả lời Công ty (Bản photo copy các công văn đính kèm).</w:t>
      </w:r>
    </w:p>
    <w:p>
      <w:r>
        <w:t>Tổng cục Thuế thông báo để các đơn vị được biết./.</w:t>
      </w:r>
    </w:p>
    <w:p>
      <w:r>
        <w:t>Nơi nhận:</w:t>
      </w:r>
    </w:p>
    <w:p>
      <w:r>
        <w:t>- Như trên;</w:t>
      </w:r>
    </w:p>
    <w:p>
      <w:r>
        <w:t>- PTCTr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