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18518/CHQ-GSQL năm 2025 vướng mắc sử dụng chỉ dẫn tình trạng bảo hộ nhãn hiệu trên nhãn sản phẩm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18518/CHQ-GSQL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11/08/2025</w:t>
            </w:r>
          </w:p>
        </w:tc>
      </w:tr>
      <w:tr>
        <w:tc>
          <w:tcPr>
            <w:tcW w:type="dxa" w:w="4320"/>
          </w:tcPr>
          <w:p>
            <w:r>
              <w:t>Ngày hiệu lực</w:t>
            </w:r>
          </w:p>
        </w:tc>
        <w:tc>
          <w:tcPr>
            <w:tcW w:type="dxa" w:w="4320"/>
          </w:tcPr>
          <w:p>
            <w:r>
              <w:t>11/08/2025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18518  /CHQ-GSQL</w:t>
      </w:r>
    </w:p>
    <w:p>
      <w:r>
        <w:t>V/v vướng mắc sở hữu trí tuệ</w:t>
      </w:r>
    </w:p>
    <w:p>
      <w:r>
        <w:t>Hà Nội, ngày 11 tháng 8 năm 2025</w:t>
      </w:r>
    </w:p>
    <w:p>
      <w:r>
        <w:t>Kính gửi:    Công ty TNHH Thương mại xuất nhập khẩu Bách Dương.</w:t>
      </w:r>
    </w:p>
    <w:p>
      <w:r>
        <w:t>(Đ/c: Số 36 LK6A-C17 Bộ Công An, Khu đô thị Mỗ Lao, Hà Nội)</w:t>
      </w:r>
    </w:p>
    <w:p>
      <w:r>
        <w:t>Trả lời công văn ngày 05/8/2025 của Công ty TNHH Thương mại xuất nhập khẩu Bách Dương hỏi về vướng mắc liên quan đến sử dụng chỉ dẫn tình trạng bảo hộ nhãn hiệu trên nhãn sản phẩm, Cục Hải quan có ý kiến như sau:</w:t>
      </w:r>
    </w:p>
    <w:p>
      <w:r>
        <w:t>1. Nhãn hiệu BINGXI và WANG LAO JI chưa được đăng ký kiểm tra, giám sát hải quan về sở hữu trí tuệ tại cơ quan hải quan. Thủ tục đề nghị kiểm tra, giám sát hải quan đối với hàng hóa xuất khẩu, nhập khẩu có yêu cầu bảo hộ quyền SHTT được thực hiện theo quy định tại Điều 6, Điều 7 Thông tư số 13/2025/TT-BTC ngày 30/01/2015 (được sửa đổi, bổ sung tại Thông tư số 13/2020/TT-BTC ngày 06/3/2020 của Bộ Tài chính).</w:t>
      </w:r>
    </w:p>
    <w:p>
      <w:r>
        <w:t>2. Về nội dung sử dụng chỉ dẫn tình trạng bảo hộ nhãn hiệu trên nhãn sản phẩm nhập khẩu, khoản 5 Điều 1 Thông tư số 06/2024/TT-BKHCN ngày 30/9/2024 của Bộ Khoa học và Công nghệ sửa đổi, bổ sung Thông tư số 11/2015/TT-BKHCN ngày 26/6/2015 quy định:</w:t>
      </w:r>
    </w:p>
    <w:p>
      <w:r>
        <w:t>“Điều 7. Hành vi vi phạm quy định về chỉ dẫn bảo hộ quyền sở hữu công nghiệp và chuyển quyền sử dụng đối tượng sở hữu công nghiệp quy định tại Điều 6 Nghị định số 99/2013/NĐ-CP</w:t>
      </w:r>
    </w:p>
    <w:p>
      <w:r>
        <w:t>1. Hành vi chỉ dẫn sai về tình trạng pháp lý quy định tại Điểm b Khoản 1</w:t>
      </w:r>
    </w:p>
    <w:p>
      <w:r>
        <w:t>Điều 6 Nghị định số 99/2013/NĐ-CP được hiểu là việc cung cấp thông tin chỉ dẫn gây hiểu sai lệch rằng đối tượng đang được bảo hộ quyền sở hữu công nghiệp tại Việt Nam mặc dù không được hoặc chưa được bảo hộ, kể cả trường hợp đối tượng đó đã nộp đơn đăng ký nhưng chưa được cấp văn bằng bảo hộ hoặc văn bằng bảo hộ đã bị hủy bỏ, chấm dứt hiệu lực hoặc hết thời hạn bảo hộ tại thời điểm thực hiện việc chỉ dẫn lên hàng hóa, bao bì hàng hóa, phương tiện kinh doanh, bao gồm:</w:t>
      </w:r>
    </w:p>
    <w:p>
      <w:r>
        <w:t>a) Gắn trên hàng hóa, bao bì hàng hóa, phương tiện kinh doanh chỉ dẫn gây hiểu sai lệch về việc hàng hóa, dịch vụ mang nhãn hiệu được bảo hộ quyền sở hữu công nghiệp như: “nhãn hiệu đã được cấp văn bằng bảo hộ độc quyền”, “nhãn hiệu được bảo hộ”, “nhãn hiệu thuộc độc quyền của...” hoặc chỉ dẫn có ý nghĩa tương tự, kể cả việc sử dụng ký hiệu ® (chi dẫn về việc nhãn hiệu được bảo hộ tại Việt Nam).</w:t>
      </w:r>
    </w:p>
    <w:p>
      <w:r>
        <w:t>Trường hợp trên hàng hóa, bao bì hàng hóa sử dụng ký hiệu ® mà trên hàng hóa, bao bì hàng hóa (bao gồm nhãn phụ đối với hàng hóa nhập khẩu) có     chỉ dẫn thông tin trung thực về tình trạng bảo hộ nhãn hiệu tại Việt Nam thì không bị coi là hành vi vi phạm quy định tại Điểm b Khoản 1 Điều 6 Nghị định số 99/2013/NĐ-CР" .</w:t>
      </w:r>
    </w:p>
    <w:p>
      <w:r>
        <w:t>3. Về trường hợp hàng hóa nhập khẩu song song vào Việt Nam, khoản 2 Điều 125 Luật Sở hữu trí tuệ năm 2005 (được sửa đổi, bổ sung tại khoản 48 Điều 1 Luật Sở hữu trí tuệ năm 2022) quy định:</w:t>
      </w:r>
    </w:p>
    <w:p>
      <w:r>
        <w:t>“Chủ sở hữu đối tượng sở hữu công nghiệp và tổ chức, cá nhân được trao quyền sử dụng hoặc quyền quản lý chỉ dẫn địa lý không có quyền cấm người khác thực hiện hành vi thuộc các trường hợp sau đây:</w:t>
      </w:r>
    </w:p>
    <w:p>
      <w:r>
        <w:t>a) Sử dụng sáng chế, kiểu dáng công nghiệp, thiết kế bố trí nhằm phục vụ nhu cầu cá nhân hoặc mục đích phi thương mại hoặc nhằm mục đích đánh giá, phân tích, nghiên cứu, giảng dạy, thử nghiệm, sản xuất thử hoặc thu thập thông tin để thực hiện thủ tục xin phép sản xuất, nhập khẩu, lưu hành sản phẩm;</w:t>
      </w:r>
    </w:p>
    <w:p>
      <w:r>
        <w:t>b) Lưu thông, nhập khẩu, khai thác công dụng của sản phẩm do chủ sở hữu, người được chuyển giao quyền sử dụng, kể cả chuyển giao quyền sử dụng theo quyết định bắt buộc, người có quyền sử dụng trước đối tượng sở hữu công nghiệp theo quy định của Luật này đưa ra thị trường, kể cả thị trường nước ngoài.”</w:t>
      </w:r>
    </w:p>
    <w:p>
      <w:r>
        <w:t>Theo đó, đề nghị Công ty nghiên cứu các quy định nêu trên để thực hiện. Cục Hải quan thông báo để Công ty được biết./.</w:t>
      </w:r>
    </w:p>
    <w:p>
      <w:r>
        <w:t>Nơi nhận:</w:t>
      </w:r>
    </w:p>
    <w:p>
      <w:r>
        <w:t>- Như trên;</w:t>
      </w:r>
    </w:p>
    <w:p>
      <w:r>
        <w:t>- Lưu: VT, GSQL (3b).</w:t>
      </w:r>
    </w:p>
    <w:p>
      <w:r>
        <w:t>TL. CỤC TRƯỞNG</w:t>
      </w:r>
    </w:p>
    <w:p>
      <w:r>
        <w:t>KT. TRƯỞNG BAN GIÁM SÁT QUẢN LÝ VỀ HQ PHÓ TRƯỞNG BAN</w:t>
      </w:r>
    </w:p>
    <w:p>
      <w:r>
        <w:t>Nguyễn Anh Tài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