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17888/CHQ-GSQL năm 2025 ghi nhãn hàng hóa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17888/CHQ-GSQL</w:t>
      </w:r>
    </w:p>
    <w:p>
      <w:r>
        <w:t>V/v ghi nhãn hàng hóa nhập khẩu</w:t>
      </w:r>
    </w:p>
    <w:p>
      <w:r>
        <w:t>Hà Nội, ngày 06 tháng 8 năm 2025</w:t>
      </w:r>
    </w:p>
    <w:p>
      <w:r>
        <w:t>Kính gửi:    Công ty TNHH Hoàng Long Cargo.</w:t>
      </w:r>
    </w:p>
    <w:p>
      <w:r>
        <w:t>(Đ/c: Số 3 Đường số 6, Phường Tân Hưng, TP. Hồ Chí Minh)</w:t>
      </w:r>
    </w:p>
    <w:p>
      <w:r>
        <w:t>Trả lời công văn số 01/HL-CHQ của Công ty TNHH Hoàng Long Cargo về ghi nhãn gốc hàng hóa nhập khẩu, Cục Hải quan có ý kiến như sau:</w:t>
      </w:r>
    </w:p>
    <w:p>
      <w:r>
        <w:t>Căn cứ Điều 10 Nghị định số 43/2017/NĐ-CP ngày 14/4/2017 của Chính phủ, được sửa đổi, bổ sung tại khoản 5 Điều 1 Nghị định số 111/2021/NĐ-CP ngày 09/12/2021 thì nhãn gốc của hàng hóa nhập khẩu vào Việt Nam bắt buộc phải thể hiện các nội dung sau bằng tiếng nước ngoài hoặc tiếng Việt khi làm thủ tục thông quan:  “Tên hàng hóa; Xuất xứ hàng hóa; Tên hoặc tên viết tắt của tổ chức, cá nhân sản xuất hoặc tổ chức, cá nhân chịu trách nhiệm về hàng hóa ở nước ngoài”.</w:t>
      </w:r>
    </w:p>
    <w:p>
      <w:r>
        <w:t>Do đó, đề nghị Công ty căn cứ quy định trên, đối chiếu với thực tế hàng hóa nhập khẩu để thực hiện và liên hệ Chi cục Hải quan khu vực dự kiến làm thủ tục nhập khẩu để được hướng dẫn cụ thể.</w:t>
      </w:r>
    </w:p>
    <w:p>
      <w:r>
        <w:t>Nơi nhận:</w:t>
      </w:r>
    </w:p>
    <w:p>
      <w:r>
        <w:t>-   Như trên;</w:t>
      </w:r>
    </w:p>
    <w:p>
      <w:r>
        <w:t>- Lưu: VT, GSQL (03b)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