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1675/GSQL-GQ4 năm 2024 về sự cố hệ thống ASW của Myanmar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1675/GSQL-GQ4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1675/GSQL-GQ4</w:t>
      </w:r>
    </w:p>
    <w:p>
      <w:r>
        <w:t>V/v sự cố hệ thống ASW của Myanmar</w:t>
      </w:r>
    </w:p>
    <w:p>
      <w:r>
        <w:t>Hà Nội , ngày  07  tháng  10  năm  2024</w:t>
      </w:r>
    </w:p>
    <w:p>
      <w:r>
        <w:t>Kính gửi:  Cục Hải quan các t ỉ nh, thành phố</w:t>
      </w:r>
    </w:p>
    <w:p>
      <w:r>
        <w:t>Trên cơ sở kết quả cuộc họp lần thứ 45 của Tiểu ban Quy tắc xuất xứ thực hiện Hiệp định ATIGA và thông báo của cơ quan có thẩm quyền của Myanmar tại thư điện tử n g ày 07/10/2024 về việc lỗi hệ thống Một cửa ASEAN của Myanmar, Cục Giám sát quản lý về Hải quan hướng dẫn thực hiện như sau:</w:t>
      </w:r>
    </w:p>
    <w:p>
      <w:r>
        <w:t>Hệ thống Một cửa ASEAN của Myanmar gặp lỗi từ ngày 06/10/2024 nên không thể cấp và tiếp nhận C/O mẫu D điện tử. V ì  vậy, kể từ ngày 06/10/2024 cho đến khi có thông báo m ớ i từ cơ quan có thẩm quyền của Myanmar, cơ quan hải quan chấp nhận C/O mẫu D bản giấy được chuyển đổi sang chứng từ điện tử (bản scan có xác nhận bằng chữ ký số) thông qu a  Hệ thống xử lý dữ liệu điện tử hải quan theo quy định tại Khoản 4 Điều 12 Thông tư số 33/2023/TT-BTC ngày 31/5/2023.</w:t>
      </w:r>
    </w:p>
    <w:p>
      <w:r>
        <w:t>Cục Giám sát quản lý về Hải quan thông báo để Cục Hải quan các tỉnh, thành phố thực hiện./.</w:t>
      </w:r>
    </w:p>
    <w:p>
      <w:r>
        <w:t>Nơi nhận:</w:t>
      </w:r>
    </w:p>
    <w:p>
      <w:r>
        <w:t>- Như trên;</w:t>
      </w:r>
    </w:p>
    <w:p>
      <w:r>
        <w:t>- Cục CNTT&amp;TKHQ (để p/h);</w:t>
      </w:r>
    </w:p>
    <w:p>
      <w:r>
        <w:t>- Lưu: VT, GQ4 (3b ).</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