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15958/CHQ-GSQL năm 2026 hướng dẫn thủ tục hải quan trong trường hợp doanh nghiệp nội địa nhận hàng hóa của doanh nghiệp chế xuất để sửa chữa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07/05/2026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15958/CHQ-GSQL</w:t>
      </w:r>
    </w:p>
    <w:p>
      <w:r>
        <w:t>V/v hướng dẫn thủ tục hải quan</w:t>
      </w:r>
    </w:p>
    <w:p>
      <w:r>
        <w:t>Hà Nội, ngày   07 tháng 5 năm 2026</w:t>
      </w:r>
    </w:p>
    <w:p>
      <w:r>
        <w:t>Kính gửi:    Công ty Cổ phần Công nghệ ESA Việt Nam.</w:t>
      </w:r>
    </w:p>
    <w:p>
      <w:r>
        <w:t>(Đ/c: Số 265 đường Chiến Thắng, Phường Hà Đông, TP. Hà Nội)</w:t>
      </w:r>
    </w:p>
    <w:p>
      <w:r>
        <w:t>Trả lời công văn số ESA-CV/TNTX/160426 ngày 16/4/2026 của Công ty Cổ phần Công nghệ ESA Việt Nam về việc hướng dẫn thủ tục hải quan trong trường hợp doanh nghiệp nội địa nhận hàng hóa của doanh nghiệp chế xuất để sửa chữa, Cục Hải quan có ý kiến như sau:</w:t>
      </w:r>
    </w:p>
    <w:p>
      <w:r>
        <w:t>Đề nghị Công ty căn cứ Điều 74 Thông tư số 38/2015/TT-BTC ngày 25/3/2015 của Bộ Tài chính sửa đổi, bổ sung tại khoản 50 Điều 1 Thông tư số 39/2018/TT-BTC ngày 20/4/2018 và khoản 45 Điều 1 Thông tư số 121/2025/TT-BTC ngày 18/12/2025; mục 17 Phụ lục ban hành kèm công văn số 8444/CHQ-GSQL ngày 02/02/2026 của Cục Hải quan để thực hiện đúng quy định. Trong quá trình thực hiện nếu phát sinh vướng mắc thì liên hệ với cơ quan hải quan nơi dự kiến làm thủ tục hải quan để được hướng dẫn theo thẩm quyền.</w:t>
      </w:r>
    </w:p>
    <w:p>
      <w:r>
        <w:t>Cục Hải quan trả lời để Công ty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