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157/CCTKV17-QLDN1 năm 2025 xuất hóa đơn giá trị gia tăng cho người mua là cá nhân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157/  CCTKV17-QLDN1</w:t>
      </w:r>
    </w:p>
    <w:p>
      <w:r>
        <w:t>V/v xuất hóa đơn GTGT cho người mua là cá nhân</w:t>
      </w:r>
    </w:p>
    <w:p>
      <w:r>
        <w:t>Long An, ngày 28 tháng 3 năm 2025</w:t>
      </w:r>
    </w:p>
    <w:p>
      <w:r>
        <w:t>Kính gửi:</w:t>
      </w:r>
    </w:p>
    <w:p>
      <w:r>
        <w:t>Công ty TNHH Thái Dương VN;</w:t>
      </w:r>
    </w:p>
    <w:p>
      <w:r>
        <w:t>MST: 1101518689;</w:t>
      </w:r>
    </w:p>
    <w:p>
      <w:r>
        <w:t>Địa chỉ: Lô H5, đường số 4, KCN Hải Sơn, ấp Bình Tiền 2, xã Đức Hòa Hạ, huyện Đức Hòa, tỉnh Long An.</w:t>
      </w:r>
    </w:p>
    <w:p>
      <w:r>
        <w:t>Trả lời văn bản số 01/CV-2025 ngày 05/03/2025 của Công ty TNHH Thái Dương VN (sau đây gọi tắt là Công ty) về việc xuất hóa đơn GTGT cho người mua là cá nhân. Chi cục Thuế có ý kiến như sau:</w:t>
      </w:r>
    </w:p>
    <w:p>
      <w:r>
        <w:t>+ Tại khoản 1 Điều 4 nguyên tắc lập, quản lý, sử dụng hóa đơn, chứng từ:</w:t>
      </w:r>
    </w:p>
    <w:p>
      <w:r>
        <w:t>“ 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Tại khoản 5 Điều 10 quy định nội dung của hóa đơn</w:t>
      </w:r>
    </w:p>
    <w:p>
      <w:r>
        <w:t>“Điều 10. Nội dung của hóa đơn</w:t>
      </w:r>
    </w:p>
    <w:p>
      <w:r>
        <w:t>...</w:t>
      </w:r>
    </w:p>
    <w:p>
      <w:r>
        <w:t>5. Tên, địa chỉ, mã số thuế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r>
        <w:t>...</w:t>
      </w:r>
    </w:p>
    <w:p>
      <w: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w:t>
      </w:r>
    </w:p>
    <w:p>
      <w:r>
        <w:t>...”</w:t>
      </w:r>
    </w:p>
    <w:p>
      <w:r>
        <w:t>+ Tại Điều 19 xử lý hóa đơn có sai sót quy định như sau:</w:t>
      </w:r>
    </w:p>
    <w:p>
      <w:r>
        <w:t>“Điều 19. Xử lý hóa đơn có sai sót</w:t>
      </w:r>
    </w:p>
    <w:p>
      <w:r>
        <w:t>1. Trường hợp người bán phát hiện hóa đơn điện tử đã được cấp mã của cơ quan thuế chưa gửi cho người mua có sai sót thì người bán thực hiện thông báo với cơ quan thuế theo Mẫu số 04/SS-HĐĐT Phụ lục IA ban hành kèm theo Nghị định này về việc hủy hóa đơn điện tử có mã đã lập có sai sót và lập hóa đơn điện tử mới, ký số gửi cơ quan thuế để cấp mã hóa đơn mới thay thế hóa đơn đã lập để gửi cho người mua. Cơ quan thuế thực hiện hủy hóa đơn điện tử đã được cấp mã có sai sót lưu trên hệ thống của cơ quan thuế.</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w:t>
      </w:r>
    </w:p>
    <w:p>
      <w:r>
        <w:t>Căn cứ các quy định nêu trên, trường hợp Công ty bán hàng cho người mua thì tên, địa chỉ, mã số thuế của người mua thể hiện trên hóa đơn thực hiện theo quy định tại Khoản 5 Điều 10 Thông tư số 123/2020/NĐ-CP của Chính phủ.</w:t>
      </w:r>
    </w:p>
    <w:p>
      <w:r>
        <w:t>Trường hợp Công ty phát hiện hóa đơn có sai sót thì thực hiện xử lý hóa đơn sai sót theo quy định tại Điều 19 Nghị định 123/2020/NĐ-CP của Chính phủ.</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 TTKT2;</w:t>
      </w:r>
    </w:p>
    <w:p>
      <w:r>
        <w:t>- Website Chi cục Thuế;</w:t>
      </w:r>
    </w:p>
    <w:p>
      <w:r>
        <w:t>- Lưu: VT, QLDN1. PD.</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