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1559/CT-CS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1559 /CT-CS</w:t>
      </w:r>
    </w:p>
    <w:p>
      <w:r>
        <w:t>V/v thuế GTGT</w:t>
      </w:r>
    </w:p>
    <w:p>
      <w:r>
        <w:t>Hà Nội , ngày  03  tháng  6  năm 2025</w:t>
      </w:r>
    </w:p>
    <w:p>
      <w:r>
        <w:t>Kính gửi:  Chi cục Thuế khu vực IV</w:t>
      </w:r>
    </w:p>
    <w:p>
      <w:r>
        <w:t>Cục Thuế nhận được công văn số 437/CTHYE-TTHT ngày 24/01/2025 của Cục Thuế tỉnh Hưng Yên (nay là Chi cục Thuế khu vực IV)  v ề thuế giá trị gia tăng (GTGT). Về vấn đề này, Cục Thuế có ý kiến như sau:</w:t>
      </w:r>
    </w:p>
    <w:p>
      <w:r>
        <w:t>Căn cứ khoản 1 Điều 156 Luật Ban hành văn bản quy phạm pháp luật số 80/2015/QH13 ngày 22/6/2015 quy định áp dụng văn bản quy phạm pháp luật;</w:t>
      </w:r>
    </w:p>
    <w:p>
      <w:r>
        <w:t>Căn cứ khoản 13, khoản 29 Điều 4, khoản 1 Điều 35 và Điều 74 Luật Doanh nghiệp số 68/2014/QH13 quy định giải thích từ ngữ, tài sản góp vốn và thực hiện góp vốn thành lập công ty;</w:t>
      </w:r>
    </w:p>
    <w:p>
      <w:r>
        <w:t>Căn cứ khoản 2 Điều 4 và khoản 1 Điều 10 Thông tư số 19/2014/TT-NHNN ngày 11/8/2014 của Ngân hàng Nhà nước hướng dẫn nguyên tắc chung và chuyển vốn cho giai đoạn chuẩn bị đầu tư;</w:t>
      </w:r>
    </w:p>
    <w:p>
      <w:r>
        <w:t>Căn cứ khoản 3 Điều 1 Luật số 106/2016/QH13 ngày 06/4/2016 sửa đổi, bổ sung một số điều của Luật Thuế GTGT, Luật Thuế tiêu thụ đặc biệt và Luật Quản lý thuế quy định các trường hợp hoàn thuế;</w:t>
      </w:r>
    </w:p>
    <w:p>
      <w:r>
        <w:t>Căn cứ khoản 3 Điều 1 Thông tư số 130/2016/TT-BTC ngày 12/8/2016 của Bộ Tài chính hướng dẫn Nghị định số 100/2016/NĐ-CP ngày 01/7/2016 của Chính phủ quy định chi tiết thi hành luật sửa đổi, bổ sung một số điều của Luật Thuế GTGT, Luật Thuế tiêu thụ đặc biệt và Luật Quản lý thuế và sửa đổi một số điều tại các thông tư về thuế hướng dẫn đối tượng và trường hợp được hoàn thuế GTGT.</w:t>
      </w:r>
    </w:p>
    <w:p>
      <w:r>
        <w:t>Căn cứ các quy định và hướng dẫn nêu trên:</w:t>
      </w:r>
    </w:p>
    <w:p>
      <w:r>
        <w:t>Pháp luật thuế giá trị gia tăng đã quy định cụ thể về các trường hợp hoàn thuế và không hoàn thuế giá trị gia tăng đối với dự án đầu tư.</w:t>
      </w:r>
    </w:p>
    <w:p>
      <w:r>
        <w:t>Việc áp dụng văn bản quy phạm pháp luật (Thông tư số 19/2014/TT-NHNN ngày 11/8/2014 hay Thông tư số 06/2019/TT-NHNN ngày 26/6/2019 của Ngân hàng Nhà nước) thực hiện theo nguyên tắc quy định tại khoản 1 Điều 156 Luật Ban hành văn bản quy phạm pháp luật số 80/2015/QH13. Đề nghị Chi cục Thuế khu vực IV có văn bản gửi cơ quan nhà nước có thẩm quyền tại địa bàn để xác định Công ty TNHH đầu tư quốc tế Santa Việt Nam đã thực hiện góp đủ vốn điều lệ hay chưa.</w:t>
      </w:r>
    </w:p>
    <w:p>
      <w:r>
        <w:t>Trên cơ sở đó, Chi cục Thuế khu vực IV căn cứ các quy định pháp luật nêu trên và hồ sơ thực tế để xử lý theo quy định.</w:t>
      </w:r>
    </w:p>
    <w:p>
      <w:r>
        <w:t>Cục Thuế có ý kiến để Chi cục Thuế khu vực IV được biết./.</w:t>
      </w:r>
    </w:p>
    <w:p>
      <w:r>
        <w:t>Nơi nhận:</w:t>
      </w:r>
    </w:p>
    <w:p>
      <w:r>
        <w:t>- Như trên; KT</w:t>
      </w:r>
    </w:p>
    <w:p>
      <w:r>
        <w:t>- Phó CTrg Đặng Ngọc Minh (để b/c);</w:t>
      </w:r>
    </w:p>
    <w:p>
      <w:r>
        <w:t>- Ban PC, Ban NVT;</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