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1506/GLA-QLDN1 năm 2025 về thuế thu nhập cá nhân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1506/GLA-QLDN1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1506/GLA-QLDN1</w:t>
      </w:r>
    </w:p>
    <w:p>
      <w:r>
        <w:t>V/v thuế TNCN.</w:t>
      </w:r>
    </w:p>
    <w:p>
      <w:r>
        <w:t>Gia Lai, ngày 06 tháng 10 năm 2025</w:t>
      </w:r>
    </w:p>
    <w:p>
      <w:r>
        <w:t>Kính gửi:  Kho bạc Nhà nước khu vực XV.</w:t>
      </w:r>
    </w:p>
    <w:p>
      <w:r>
        <w:t>(Địa chỉ: 60 Lê Duẩn - P.Quy Nhơn - tỉnh Gia Lai)</w:t>
      </w:r>
    </w:p>
    <w:p>
      <w:r>
        <w:t>Thuế tỉnh Gia Lai nhận được Công văn số 650/KBXV-TVQTngày 06/10/2025 của Kho bạc Nhà nước khu vực XV đề nghị hướng dẫn giải quyết thuế TNCN của đơn vị sáp nhập.</w:t>
      </w:r>
    </w:p>
    <w:p>
      <w:r>
        <w:t>Về vấn đề này, Thuế tỉnh Gia Lai có ý kiến như sau:</w:t>
      </w:r>
    </w:p>
    <w:p>
      <w:r>
        <w:t>- Tại điểm d1 khoản 6 Điều 8 Nghị định 126/2020/NĐ-CP của Chính phủ ngày 19/10/2020 quy định về quyết toán thuế TNCN:</w:t>
      </w:r>
    </w:p>
    <w:p>
      <w: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r>
        <w:t>- Tại khoản 3 Điều 1 Nghị đính số 70/2025/NĐ-CP Sửa đổi, bổ sung một số điều của Nghị định số 123/2020/NĐ-CP ngày 19 tháng 10 năm 2020 của Chính phủ quy định về hóa đơn, chứng từ, quy định :</w:t>
      </w:r>
    </w:p>
    <w:p>
      <w:r>
        <w:t>“…</w:t>
      </w:r>
    </w:p>
    <w:p>
      <w:r>
        <w:t>2. Khi khấu trừ thuế thu nhập cá nhân, khi thu thuế, phí, lệ phí, tổ chức, cá nhân khấu trừ thuế, tổ chức thu thuế, phí, lệ phí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chứng từ điện tử thì phải theo định dạng chuẩn dữ liệu của cơ quan thuế. Trường hợp cá nhân ủy quyền quyết toán thuế thì không cấp chứng từ khấu trừ thuế thu nhập cá nhân.</w:t>
      </w:r>
    </w:p>
    <w:p>
      <w:r>
        <w:t>Đối với cá nhân không ký hợp đồng lao động hoặc ký hợp đồng lao động dưới 03 tháng thì tổ chức, cá nhân trả thu nhập cấp chứng từ khấu trừ thuế cho mỗi lần khấu trừ thuế hoặc cấp một chứng từ khấu trừ cho nhiều lần khấu trừ thuế trong một năm tính thuế khi cá nhân yêu cầu. Đối với cá nhân ký hợp đồng lao động từ 03 tháng trở lên, tổ chức, cá nhân trả thu nhập chỉ cấp cho cá nhân một chứng từ khấu trừ thuế trong một năm tính thuế.</w:t>
      </w:r>
    </w:p>
    <w:p>
      <w:r>
        <w:t>…”</w:t>
      </w:r>
    </w:p>
    <w:p>
      <w:r>
        <w:t>Căn cứ quy định nêu trên và theo trình bày, Kho bạc Bình Định thuộc trường hợp sáp nhập đã đăng ký mã số thuế mới 4101663829, do đó: Kho bạc Bình Định không phải nộp quyết toán thuế TNCN đến thời điểm sáp nhập, Kho bạc Nhà nước khu vực XV chịu trách nhiệm: (1) quyết toán theo ủy quyền của cá nhân và không phải cấp chứng từ khấu trừ thuế; (2) cấp một chứng từ thuế trong một năm tính thuế đối với cá nhân không ký hợp đồng.</w:t>
      </w:r>
    </w:p>
    <w:p>
      <w:r>
        <w:t>Thuế tỉnh Gia Lai hướng dẫn để Kho bạc Nhà nước khu vực XV biết và cùng phối hợp thực hiện.</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Nơi nhận:</w:t>
      </w:r>
    </w:p>
    <w:p>
      <w:r>
        <w:t>-    Như trên;</w:t>
      </w:r>
    </w:p>
    <w:p>
      <w:r>
        <w:t>- Các Sở, ngành trên địa bàn tỉnh Gia Lai;</w:t>
      </w:r>
    </w:p>
    <w:p>
      <w:r>
        <w:t>- Lãnh đạo Thuế tỉnh Gia Lai;</w:t>
      </w:r>
    </w:p>
    <w:p>
      <w:r>
        <w:t>- Các Phòng: NVDTPC, QLDN 2, Ktr1,2;</w:t>
      </w:r>
    </w:p>
    <w:p>
      <w:r>
        <w:t>- Website Thuế tỉnh Gia Lai;</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