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142/CT-CS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142/CT-CS</w:t>
      </w:r>
    </w:p>
    <w:p>
      <w:r>
        <w:t>V/v chính sách thuế</w:t>
      </w:r>
    </w:p>
    <w:p>
      <w:r>
        <w:t>Hà Nội, ngày 14 tháng 3 năm 2025</w:t>
      </w:r>
    </w:p>
    <w:p>
      <w:r>
        <w:t>Kính gửi:  Chi cục Thuế khu vực XVI.</w:t>
      </w:r>
    </w:p>
    <w:p>
      <w:r>
        <w:t>Tổng cục Thuế (nay là Cục Thuế) nhận được công văn số 4677/CTBDU-NVDTPC ngày 16/12/2024 của Cục Thuế tỉnh Bình Dương (nay là Chi cục Thuế khu vực XVI) về chính sách thuế. Về vấn đề này, Cục Thuế có ý kiến như sau:</w:t>
      </w:r>
    </w:p>
    <w:p>
      <w:r>
        <w:t>Căn cứ Điều 4 Luật Thuế giá trị gia tăng quy định về người nộp thuế;</w:t>
      </w:r>
    </w:p>
    <w:p>
      <w:r>
        <w:t>Căn cứ Điều 2 Nghị định số 209/2013/NĐ-CP ngày 18/12/2013 của Chính phủ quy định chi tiết và hướng dẫn thi hành một số điều Luật Thuế giá trị gia tăng về người nộp thuế;</w:t>
      </w:r>
    </w:p>
    <w:p>
      <w:r>
        <w:t>Căn cứ khoản 2 Điều 156 Luật Ban hành văn bản quy phạm pháp luật quy định về áp dụng văn bản quy phạm pháp luật;</w:t>
      </w:r>
    </w:p>
    <w:p>
      <w:r>
        <w:t>Căn cứ khoản 7 Điều 30 Nghị định số 82/2018/NĐ-CP ngày 22/5/2018 của Chính phủ về quy định riêng áp dụng đối với khu chế xuất, doanh nghiệp chế xuất thay thế Nghị định số 29/2008/NĐ-CP, Nghị định số 164/2013/NĐ-CP và Nghị định số 114/2015/NĐ-CP của Chính phủ (có hiệu lực từ ngày 10/7/2018);</w:t>
      </w:r>
    </w:p>
    <w:p>
      <w:r>
        <w:t>Căn cứ Điều 26 Nghị định số 35/2022/NĐ-CP ngày 28/5/2022 của Chính phủ về quy định riêng áp dụng đối với khu chế xuất, doanh nghiệp chế xuất thay thế Nghị định số 82/2018/NĐ-CP ngày 22/5/2018 của Chính phủ (có hiệu lực từ ngày 15/7/2022).</w:t>
      </w:r>
    </w:p>
    <w:p>
      <w:r>
        <w:t>Căn cứ quy định và hướng dẫn nêu trên, về nguyên tắc, trường hợp các văn bản quy phạm pháp luật có quy định khác nhau về cùng một vấn đề thì áp dụng văn bản có hiệu lực pháp lý cao hơn.</w:t>
      </w:r>
    </w:p>
    <w:p>
      <w:r>
        <w:t>Theo đó, trên cơ sở nội dung trình bày tại công văn số 4677/CTBDU-NVDTPC của Cục Thuế tỉnh Bình Dương, trường hợp doanh nghiệp chế xuất đăng ký thêm hoạt động thương mại thực hiện quyền xuất khẩu, quyền nhập khẩu thì là người nộp thuế GTGT theo quy định tại Điều 4 Luật Thuế GTGT và Điều 2 Nghị định số 209/2013/NĐ-CP.</w:t>
      </w:r>
    </w:p>
    <w:p>
      <w:r>
        <w:t>Đề nghị Chi cục Thuế khu vực XVI nghiên cứu nội dung quy định nêu trên và tình hình thực tế của doanh nghiệp để hướng dẫn đơn vị thực hiện.</w:t>
      </w:r>
    </w:p>
    <w:p>
      <w:r>
        <w:t>Cục Thuế có ý kiến để Chi cục Thuế khu vực XVI được biết./.</w:t>
      </w:r>
    </w:p>
    <w:p>
      <w:r>
        <w:t>Nơi nhận:</w:t>
      </w:r>
    </w:p>
    <w:p>
      <w:r>
        <w:t>- Như trên;</w:t>
      </w:r>
    </w:p>
    <w:p>
      <w:r>
        <w:t>- Phó CTr Đặng Ngọc Minh (để b/c);</w:t>
      </w:r>
    </w:p>
    <w:p>
      <w:r>
        <w:t>- Ban PC, NVT;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