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14/CCTKV.XVI-QLDN2 năm 2025 về Chính sách thuế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14/CCTKV.XVI-QLDN2</w:t>
      </w:r>
    </w:p>
    <w:p>
      <w:r>
        <w:t>V/v chính sách thuế</w:t>
      </w:r>
    </w:p>
    <w:p>
      <w:r>
        <w:t>Bình Dương, ngày 19 tháng 3 năm 2025</w:t>
      </w:r>
    </w:p>
    <w:p>
      <w:r>
        <w:t>Kính gửi:  CÔNG TY TNHH NAWA PRECISION VIỆT NAM</w:t>
      </w:r>
    </w:p>
    <w:p>
      <w:r>
        <w:t>Địa chỉ: Lô D-7H-CN KCN Mỹ Phước 3, phường Thới Hòa, thành phố B ế n Cát, Bình Dương.</w:t>
      </w:r>
    </w:p>
    <w:p>
      <w:r>
        <w:t>MST: 3700892294</w:t>
      </w:r>
    </w:p>
    <w:p>
      <w:r>
        <w:t>Chi cục Thuế nhận được văn bản số không số ngày 07/03/2025 của CÔNG TY TNHH NAWA PRECISION VIỆT NAM (gọi tắt là “C ô ng ty”) hỏi về chính sách thuế. Qua nội dung văn bản nói trên, Chi cục Thuế c ó  ý kiến như sau:</w:t>
      </w:r>
    </w:p>
    <w:p>
      <w:r>
        <w:t>- Tại khoản 2 Điều 42 Luật Quản lý thuế số 38/2019/QH14 quy định:</w:t>
      </w:r>
    </w:p>
    <w:p>
      <w:r>
        <w:t>“Người nộp thuế tự tính số tiền thuế phải nộp, trừ trường hợp việc tính thuế do cơ quan quản lý thuế thực hiện theo quy định của Chính phủ.”;</w:t>
      </w:r>
    </w:p>
    <w:p>
      <w:r>
        <w:t>- Căn cứ khoản 1 Điều 4 Thông tư số 96/2015/TT-BTC ngày 22/6/2015 của Bộ Tài chính sửa đổi, bổ sung Điều 6 Thông tư số Thông tư số 78/2014/TT-BTC (đã được sửa đổi, bổ sung tại Khoản 2 Điều 6 Thông tư số 119/2014/TT-BTC và Điều 1 Thông tư số 151/2014/TT-BTC) hướng dẫn thuế thu nhập doanh nghiệp (TNDN):</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 ề n mặt.</w:t>
      </w:r>
    </w:p>
    <w:p>
      <w:r>
        <w:t>Chứng từ thanh toán không dùng tiền mặt thực hiện theo quy định của các văn bản pháp luật về thuế giá trị gia tăng.</w:t>
      </w:r>
    </w:p>
    <w:p>
      <w:r>
        <w:t>…”</w:t>
      </w:r>
    </w:p>
    <w:p>
      <w:r>
        <w:t>- Căn cứ khoản 10 Điều 1 Thông tư số 26/2015/TT-BTC ngày 27/02/2015 của Bộ Tài chính quy định sửa đổi, bổ sung Điều 15 (đã được sửa đổi, bổ sung tại Thông tư số 119/2014/TT-BTC ngày 25/8/2014 và Thông tư số 151/2014/TT-BTC ngày 10/10/2014 của Bộ Tài chính)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Căn cứ các quy định trên, nếu Công ty phát sinh các khoản chi thực tế phát sinh liên quan đến hoạt động sản xuất, kinh doanh của doanh nghiệp đáp ứng điều kiện quy định tại Điều 4 Thông tư số 96/2015/TT-BTC thì Công ty được tính vào chi phí được trừ khi xác định thu nhập chịu thuế TNDN và được khấu trừ thuế GTGT đầu vào nếu hàng hóa, dịch vụ đúng thực tế, có đầy đủ hóa đơn, chứng từ và đáp ứng điều kiện theo quy định tại khoản 10 Điều 1 Thông tư số 26/2015/TT-BTC.</w:t>
      </w:r>
    </w:p>
    <w:p>
      <w:r>
        <w:t>Công ty căn cứ hướng dẫn nêu trên, đối chiếu với tình hình thực tế tại đơn vị để thực hiện đúng quy định.</w:t>
      </w:r>
    </w:p>
    <w:p>
      <w:r>
        <w:t>Trên đây là ý kiến của Chi cục Thuế khu vực XVI trả lời cho Công ty biết để thực hiện./.</w:t>
      </w:r>
    </w:p>
    <w:p>
      <w:r>
        <w:t>Nơi nhận:</w:t>
      </w:r>
    </w:p>
    <w:p>
      <w:r>
        <w:t>- Như trên;</w:t>
      </w:r>
    </w:p>
    <w:p>
      <w:r>
        <w:t>- Web;</w:t>
      </w:r>
    </w:p>
    <w:p>
      <w:r>
        <w:t>- Lưu VT, QLDN2 (Khang); (250318/ZV09/0001/7401/007819221</w:t>
      </w:r>
    </w:p>
    <w:p>
      <w:r>
        <w:t>KT. CHI CỤC TRƯỞNG</w:t>
      </w:r>
    </w:p>
    <w:p>
      <w:r>
        <w:t>PHÓ CHI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