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11912/CTHN-TTHT năm 2025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11912/CTHN-TTHT</w:t>
      </w:r>
    </w:p>
    <w:p>
      <w:r>
        <w:t>V/v chính sách thuế</w:t>
      </w:r>
    </w:p>
    <w:p>
      <w:r>
        <w:t>Hà Nội, ngày 03 tháng 3 năm 2025</w:t>
      </w:r>
    </w:p>
    <w:p>
      <w:r>
        <w:t>Kính gửi:  Công ty TNHH Zott Việt Nam</w:t>
      </w:r>
    </w:p>
    <w:p>
      <w:r>
        <w:t>(Đ/c: tầng 2 tháp Tây, Tổ hợp công trình đa năng 28 tầng, Làng Quốc tế Thăng Long, P Dịch Vọng, Quận Cầu Giấy, Hà Nội)</w:t>
      </w:r>
    </w:p>
    <w:p>
      <w:r>
        <w:t>MST: 0107749754</w:t>
      </w:r>
    </w:p>
    <w:p>
      <w:r>
        <w:t>Cục Thuế TP Hà Nội nhận được văn bản số 001/CV ghi ngày 24/02/2025 của Công ty TNHH Zott Việt Nam về việc nộp thuế nhà thầu cho khoản lãi vay. Về vấn đề này,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Tại Khoản 1 Điều 1 quy định về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Điều 7 quy định về đối tượng chịu thuế TNDN:</w:t>
      </w:r>
    </w:p>
    <w:p>
      <w:r>
        <w:t>“3.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 Thu nhập chịu thuế của Nhà thầu nước ngoài, Nhà thầu phụ nước ngoài trong một số trường hợp cụ thể như sau:</w:t>
      </w:r>
    </w:p>
    <w:p>
      <w:r>
        <w:t>…</w:t>
      </w:r>
    </w:p>
    <w:p>
      <w:r>
        <w:t>- Thu nhập từ Lãi tiền vay: là thu nhập của Bên cho vay từ các khoản cho vay dưới bất kỳ dạng nào mà khoản vay đó có hay không được đảm bảo bằng thế chấp, người cho vay đó có hay không được hưởng lợi tức của người đi vay; thu nhập từ lãi tiền gửi (trừ lãi tiền gửi của các cá nhân người nước ngoài và lãi tiền gửi phát sinh từ tài khoản tiền gửi để duy trì hoạt động tại Việt Nam của cơ quan đại diện ngoại giao, cơ quan đại diện của tổ chức quốc tế, tổ chức phi chính phủ tại Việt Nam), kể cả các khoản thưởng đi kèm lãi tiền gửi (nếu có); thu nhập từ lãi trả chậm theo quy định của các hợp đồng; thu nhập từ lãi trái phiếu, chiết khấu giá trái phiếu (trừ trái phiếu thuộc diện miễn thuế), tín phiếu kho bạc; thu nhập từ lãi chứng chỉ tiền gửi.</w:t>
      </w:r>
    </w:p>
    <w:p>
      <w:r>
        <w:t>Lãi tiền vay bao gồm cả các khoản phí mà Bên Việt Nam phải trả theo quy định của hợp đồng.”</w:t>
      </w:r>
    </w:p>
    <w:p>
      <w:r>
        <w:t>+ Tại Điều 11 quy định về đối tượng và điều kiện áp dụng nộp thuế theo phương pháp trực tiếp:</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Căn cứ các quy định và hướng dẫn nêu trên, trường hợp tổ chức nước ngoài có thu nhập từ lãi tiền vay thuộc đối tượng áp dụng thuế theo khoản 1 Điều 1 Thông tư số 103/2014/TT-BTC. Thu nhập từ lãi tiền vay chịu thuế TNDN theo khoản 3 Điều 7 Thông tư số 103/2014/TT-BTC. Trường hợp nhà thầu nước ngoài không đáp ứng một trong các điều kiện nêu tại Điều 8 Thông tư số 103/2014/TT-BTC thì Công ty TNHH Zott Việt Nam (Bên Việt Nam) nộp thay thuế cho nhà thầu nước ngoài theo hướng dẫn tại Điều 13 Thông tư số 103/2014/TT-BTC.</w:t>
      </w:r>
    </w:p>
    <w:p>
      <w:r>
        <w:t>Đề nghị Công ty căn cứ các văn bản pháp luật được trích dẫn nêu trên, đối chiếu với tình hình thực tế tại đơn vị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có ý kiến để Công ty TNHH Zott Việt Nam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