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1160/CT-CS năm 2025 về Chính sách thuế đối với quy trình thi hành án bán đấu giá tài sản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1160/CT-CS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13/05/2025</w:t>
            </w:r>
          </w:p>
        </w:tc>
      </w:tr>
      <w:tr>
        <w:tc>
          <w:tcPr>
            <w:tcW w:type="dxa" w:w="4320"/>
          </w:tcPr>
          <w:p>
            <w:r>
              <w:t>Ngày hiệu lực</w:t>
            </w:r>
          </w:p>
        </w:tc>
        <w:tc>
          <w:tcPr>
            <w:tcW w:type="dxa" w:w="4320"/>
          </w:tcPr>
          <w:p>
            <w:r>
              <w:t>13/05/2025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1160/CT-CS</w:t>
      </w:r>
    </w:p>
    <w:p>
      <w:r>
        <w:t>V/v chính sách thuế</w:t>
      </w:r>
    </w:p>
    <w:p>
      <w:r>
        <w:t>Hà Nội, ngày 13 tháng 5 năm 2025</w:t>
      </w:r>
    </w:p>
    <w:p>
      <w:r>
        <w:t>Kính gửi:  Chi cục Thuế khu vực XVII.</w:t>
      </w:r>
    </w:p>
    <w:p>
      <w:r>
        <w:t>Trả lời công văn số 4275/CTLAN-TTHT ngày 26/09/2024 của Cục Thuế tỉnh Long An (nay là Chi cục Thuế khu vực XVII) về chính sách thuế, Cục Thuế có ý kiến như sau:</w:t>
      </w:r>
    </w:p>
    <w:p>
      <w:r>
        <w:t>Căn cứ khoản 37 Điều 1 Luật số 64/2014/QH13 ngày 25/11/2024 sửa đổi, bổ sung một số điều (sửa đổi Điều 106) của Luật Thi hành án dân sự số 26/2008/QH12 về đăng ký, chuyển quyền sở hữu, sử dụng tài sản;</w:t>
      </w:r>
    </w:p>
    <w:p>
      <w:r>
        <w:t>Căn cứ khoản 1 Điều 4 Nghị định số 21/2021/NĐ-CP ngày 19/3/2021 của Chính phủ quy định thi hành Bộ Luật dân sự về bảo đảm thực hiện nghĩa vụ quy định về áp dụng pháp luật và thỏa thuận về bảo đảm thực hiện nghĩa vụ;</w:t>
      </w:r>
    </w:p>
    <w:p>
      <w:r>
        <w:t>Căn cứ Điều 51, Điều 53, Điều 54 và Điều 101 Luật phá sản số 51/2014/QH13 ngày 19/6/2014 quy định về xác định giá trị nghĩa vụ về tài sản, xử lý khoản nợ có bảo đảm và thứ tự phân chia tài sản;</w:t>
      </w:r>
    </w:p>
    <w:p>
      <w:r>
        <w:t>Căn cứ khoản 5 Điều 3 Luật thuế thu nhập cá nhân số 04/2007/QH12 ngày 21/11/2007 quy định về thu nhập chịu thuế;</w:t>
      </w:r>
    </w:p>
    <w:p>
      <w:r>
        <w:t>Căn cứ khoản 7 Điều 2 Luật số 71/2014/QH14 quy định thuế suất thuế thu nhập cá nhân đối với thu nhập từ hoạt động chuyển nhượng bất động sản là 2%.</w:t>
      </w:r>
    </w:p>
    <w:p>
      <w:r>
        <w:t>Căn cứ khoản 1 Điều 4 Nghị định số 123/2020/NĐ-CP ngày 19/10/2020 của Chính phủ quy định nguyên tắc lập, quản lý, sử dụng hóa đơn, chứng từ;</w:t>
      </w:r>
    </w:p>
    <w:p>
      <w:r>
        <w:t>Căn cứ khoản 6 Điều 8 Nghị định số 126/2020/NĐ-CP ngày 19/10/2020 của Chính phủ quy định chi tiết một số điều của Luật Quản lý thuế về các loại thuế khai theo tháng, khai theo quý, khai theo năm, khai theo từng lần phát sinh nghĩa vụ thuế và khai quyết toán thuế;</w:t>
      </w:r>
    </w:p>
    <w:p>
      <w:r>
        <w:t>Căn cứ khoản 3 Điều 1 Thông tư số 26/2015/TT-BTC ngày 27/2/2015 của Bộ Tài chính sửa đổi, bổ sung một số điều của Thông tư số 219/2013/TT-BTC ngày 31/12/2013 của Bộ Tài chính hướng dẫn thi hành Luật Thuế GTGT và Nghị định số 209/2013/NĐ-CP ngày 18/12/2013 của Chính phủ quy định chi tiết và hướng dẫn thi hành một số điều Luật Thuế GTGT (đã được sửa đổi, bổ sung theo Thông tư số 119/2014/TT-BTC ngày 25/8/2014 và Thông tư số 151/2014/TT-BTC ngày 10/10/2014 của Bộ Tài chính) quy định đối tượng không chịu thuế GTGT;</w:t>
      </w:r>
    </w:p>
    <w:p>
      <w:r>
        <w:t>Căn cứ khoản 6 Điều 7 và khoản 1, khoản 4 và khoản 5 Điều 17 Thông tư số 78/2014/TT-BTC ngày 18/6/2014 của Bộ Tài chính (được sửa đổi, bổ sung tại Thông tư số 96/2015/TT-BTC ngày 22/6/2015) quy định về thu nhập khác và thu nhập chịu thuế;</w:t>
      </w:r>
    </w:p>
    <w:p>
      <w:r>
        <w:t>Căn cứ các quy định trên, Cục Thuế có ý kiến như sau:</w:t>
      </w:r>
    </w:p>
    <w:p>
      <w:r>
        <w:t>Về thuế GTGT và hóa đơn: nếu tài sản bảo đảm tiền vay được bán là tài sản thuộc giao dịch bảo đảm đã được đăng ký với cơ quan có thẩm quyền theo quy định của pháp luật về đăng ký giao dịch bảo đảm và việc xử lý tài sản bảo đảm tiền vay thực hiện theo quy định của pháp luật về giao dịch bảo đảm thì thuộc đối tượng không chịu thuế GTGT theo quy định tại khoản 3 Điều 1 Thông tư số 26/2015/TT-BTC nêu trên.</w:t>
      </w:r>
    </w:p>
    <w:p>
      <w:r>
        <w:t>Trường hợp việc bán tài sản không phải là tài sản bảo đảm tiền vay theo quy định của pháp luật về giao dịch đảm bảo thì thuộc đối tượng chịu thuế GTGT theo quy định.</w:t>
      </w:r>
    </w:p>
    <w:p>
      <w:r>
        <w:t>Về thuế TNDN: đề nghị Cục Thuế tỉnh Long An (nay là Chi cục Thuế khu vực XVII) căn cứ hồ sơ, chứng từ cụ thể, đối chiếu với quy định nêu trên để phối hợp với Cục Thi hành án dân sự tỉnh Long An và Công ty Hợp danh quản lý và thanh lý tài sản Việt (là Tổ chức được ủy quyền bán đấu giá tài sản) thực hiện kê khai, khấu trừ tiền thuế thu nhập doanh nghiệp và thuế thu nhập cá nhân nộp thay Công ty TNHH Năm Điều và ông Trương Minh Điều vào ngân sách nhà nước theo quy định tại khoản 6 Điều 8 Nghị định số 126/2020/NĐ-CP, khoản 5 Điều 17 Thông tư số 78/2014/TT-BTC và khoản 7 Điều 2 Luật số 71/2014/QH13.</w:t>
      </w:r>
    </w:p>
    <w:p>
      <w:r>
        <w:t>Đề nghị Chi cục Thuế khu vực XVII căn cứ hồ sơ thực tế và các quy định liên quan tại Luật thi hành án dân sự, Luật phá sản, phối hợp với Tòa án nhân dân tỉnh Long An, Cục thi hành án dân sự tỉnh Long An để làm rõ quy trình thi hành án bán đấu giá tài sản nêu trên trước khi hướng dẫn người nộp thuế.</w:t>
      </w:r>
    </w:p>
    <w:p>
      <w:r>
        <w:t>Cục Thuế có ý kiến để Chi cục Thuế khu vực XVII được biết./.</w:t>
      </w:r>
    </w:p>
    <w:p>
      <w:r>
        <w:t>Nơi nhận:</w:t>
      </w:r>
    </w:p>
    <w:p>
      <w:r>
        <w:t>- Như trên;</w:t>
      </w:r>
    </w:p>
    <w:p>
      <w:r>
        <w:t>- Phó CTr Đặng Ngọc Minh (để b/c);</w:t>
      </w:r>
    </w:p>
    <w:p>
      <w:r>
        <w:t>- Cục CST-BTC;</w:t>
      </w:r>
    </w:p>
    <w:p>
      <w:r>
        <w:t>- Ban PC, NVT;</w:t>
      </w:r>
    </w:p>
    <w:p>
      <w:r>
        <w:t>- Website CT;</w:t>
      </w:r>
    </w:p>
    <w:p>
      <w:r>
        <w:t>- Lưu: VT, CS.</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