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11223/CTHN-TTHT năm 2024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11223/CTHN-TTHT</w:t>
      </w:r>
    </w:p>
    <w:p>
      <w:r>
        <w:t>V/v: Chính sách thuế TNCN</w:t>
      </w:r>
    </w:p>
    <w:p>
      <w:r>
        <w:t>Hà Nội, ngày 08 tháng 3 năm 2024</w:t>
      </w:r>
    </w:p>
    <w:p>
      <w:r>
        <w:t>Kính gửi:  Bệnh viện mắt Trung ương</w:t>
      </w:r>
    </w:p>
    <w:p>
      <w:r>
        <w:t>(Địa chỉ: Số 85 Phố Bà Triệu, Quận Hai Bà Trưng, TP Hà Nội - MST: 0102138381)</w:t>
      </w:r>
    </w:p>
    <w:p>
      <w:r>
        <w:t>Trả lời công văn số 104/BVMTW-TCKT ghi ngày 26/01/2024 của Bệnh viện mắt Trung ương (sau đây gọi tắt là Đơn vị) vướng mắc về chính sách thuế TNCN,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 quy định người nộp thuế.</w:t>
      </w:r>
    </w:p>
    <w:p>
      <w:r>
        <w:t>+ Tại Điều 2 quy định về các khoản thu nhập chịu thuế:</w:t>
      </w:r>
    </w:p>
    <w:p>
      <w:r>
        <w:t>“Điều 2. Các khoản thu nhập chịu thuế</w:t>
      </w:r>
    </w:p>
    <w:p>
      <w:r>
        <w:t>...10. Thu nhập từ nhận quà tặng</w:t>
      </w:r>
    </w:p>
    <w:p>
      <w:r>
        <w:t>Thu nhập từ nhận quà tặng là khoản thu nhập của cá nhân nhận được từ các tổ chức, cá nhân trong và ngoài nước, cụ thể như sau:</w:t>
      </w:r>
    </w:p>
    <w:p>
      <w:r>
        <w:t>a) Đối với nhận quà tặng là chứng khoán bao gồm: cổ phiếu, quyền mua cổ phiếu, trái phiếu, tín phiếu, chứng chỉ quỹ và các loại chứng khoán khác theo quy định của Luật Chứng khoán; cổ phần của các cá nhân trong công ty cổ phần theo quy định của Luật Doanh nghiệp.</w:t>
      </w:r>
    </w:p>
    <w:p>
      <w:r>
        <w:t>b) Đối với nhận quà tặng là phần vốn trong các tổ chức kinh tế, cơ sở kinh doanh bao gồm: vốn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r>
        <w:t>c) Đối với nhận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quà tặng là bất động sản hướng dẫn tại điểm d, khoản 1, Điều 3 Thông tư này.</w:t>
      </w:r>
    </w:p>
    <w:p>
      <w:r>
        <w:t>d) Đối với nhận quà tặng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r>
        <w:t>- Căn cứ Thông tư số 119/2014/TT-BTC ngày 25/08/2014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p>
    <w:p>
      <w:r>
        <w:t>+ Tại 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Căn cứ vào các quy định trên, trường hợp Đơn vị thực hiện tặng quà cho cá nhân (không phải người lao động của Đơn vị) mà quà tặng không thuộc đối tượng quy định tại Khoản 10 Điều 2 Thông tư 111/TT-BTC của Bộ Tài chính thì khoản thu nhập từ nhận quà tặng này không chịu thuế TNCN.</w:t>
      </w:r>
    </w:p>
    <w:p>
      <w:r>
        <w:t>Trường hợp Đơn vị thực hiện chi tiền cho tập thể để phục vụ hoạt động của tập thể (khoản tiền này sẽ do tập thể sử dụng chung và cá nhân chỉ là người được cử đại diện nhận thay cho tập thể) thì khoản thu nhập này không tính vào thu nhập chịu thuế TNCN của cá nhân nhận thay.</w:t>
      </w:r>
    </w:p>
    <w:p>
      <w:r>
        <w:t>Đề nghị Đơn vị căn cứ các quy định của pháp luật và đối chiếu với tình hình thực tế để thực hiện đúng quy định.</w:t>
      </w:r>
    </w:p>
    <w:p>
      <w:r>
        <w:t>Trong quá trình thực hiện nếu còn vướng mắc về chính sách thuế, Đơn vị có thể tham khảo các văn bản hướng dẫn của Cục Thuế TP Hà Nội được đăng tải trên website http://hanoi.gdt.gov.vn hoặc liên hệ với Phòng Thanh tra - Kiểm tra số 4 để được hướng dẫn cụ thể.</w:t>
      </w:r>
    </w:p>
    <w:p>
      <w:r>
        <w:t>Cục Thuế TP Hà Nội trả lời để Bệnh viện mắt Trung ương được biết và thực hiện./.</w:t>
      </w:r>
    </w:p>
    <w:p>
      <w:r>
        <w:t>Nơi nhận:</w:t>
      </w:r>
    </w:p>
    <w:p>
      <w:r>
        <w:t>- Như trên;</w:t>
      </w:r>
    </w:p>
    <w:p>
      <w:r>
        <w:t>- Phòng TKT 4;</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